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IdsDocument.xml" ContentType="application/vnd.openxmlformats-officedocument.wordprocessingml.commentsIds+xml"/>
  <Override PartName="/word/commentsDocument.xml" ContentType="application/vnd.openxmlformats-officedocument.wordprocessingml.comments+xml"/>
  <Override PartName="/word/commentsExtendedDocument.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0941D" w14:textId="77777777" w:rsidR="00C5674D" w:rsidRDefault="00C5674D">
      <w:pPr>
        <w:shd w:val="clear" w:color="auto" w:fill="FFFFFF"/>
        <w:spacing w:line="392" w:lineRule="auto"/>
        <w:rPr>
          <w:rFonts w:ascii="Calibri" w:eastAsia="Calibri" w:hAnsi="Calibri" w:cs="Calibri"/>
          <w:b/>
          <w:sz w:val="16"/>
          <w:szCs w:val="16"/>
        </w:rPr>
      </w:pPr>
    </w:p>
    <w:p w14:paraId="261EFF84" w14:textId="77777777" w:rsidR="00C5674D" w:rsidRDefault="00C5674D">
      <w:pPr>
        <w:jc w:val="center"/>
      </w:pPr>
    </w:p>
    <w:p w14:paraId="0E3D42C6" w14:textId="77777777" w:rsidR="00C5674D" w:rsidRDefault="00981F40">
      <w:pPr>
        <w:shd w:val="clear" w:color="auto" w:fill="FFFFFF"/>
        <w:jc w:val="center"/>
        <w:rPr>
          <w:rFonts w:ascii="Calibri" w:eastAsia="Calibri" w:hAnsi="Calibri" w:cs="Calibri"/>
          <w:b/>
          <w:sz w:val="24"/>
          <w:szCs w:val="24"/>
        </w:rPr>
      </w:pPr>
      <w:r>
        <w:rPr>
          <w:rFonts w:ascii="Calibri" w:eastAsia="Calibri" w:hAnsi="Calibri" w:cs="Calibri"/>
          <w:b/>
          <w:noProof/>
          <w:sz w:val="24"/>
          <w:szCs w:val="24"/>
          <w:lang w:val="en-GB"/>
        </w:rPr>
        <mc:AlternateContent>
          <mc:Choice Requires="wpg">
            <w:drawing>
              <wp:inline distT="0" distB="0" distL="0" distR="0">
                <wp:extent cx="4142342" cy="2734124"/>
                <wp:effectExtent l="0" t="0" r="0" b="0"/>
                <wp:docPr id="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text&#10;&#10;Description automatically generated"/>
                        <pic:cNvPicPr>
                          <a:picLocks noChangeAspect="1"/>
                        </pic:cNvPicPr>
                      </pic:nvPicPr>
                      <pic:blipFill>
                        <a:blip r:embed="rId7"/>
                        <a:stretch/>
                      </pic:blipFill>
                      <pic:spPr bwMode="auto">
                        <a:xfrm>
                          <a:off x="0" y="0"/>
                          <a:ext cx="4157001" cy="2743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26.2pt;height:215.3pt;" stroked="false">
                <v:path textboxrect="0,0,0,0"/>
                <v:imagedata r:id="rId11" o:title=""/>
              </v:shape>
            </w:pict>
          </mc:Fallback>
        </mc:AlternateContent>
      </w:r>
    </w:p>
    <w:p w14:paraId="5F3754E8" w14:textId="77777777" w:rsidR="00C5674D" w:rsidRDefault="00C5674D">
      <w:pPr>
        <w:pStyle w:val="Title"/>
        <w:shd w:val="clear" w:color="auto" w:fill="FFFFFF"/>
        <w:jc w:val="center"/>
        <w:rPr>
          <w:b/>
          <w:iCs/>
          <w:color w:val="38761D"/>
          <w:sz w:val="34"/>
          <w:szCs w:val="34"/>
        </w:rPr>
      </w:pPr>
      <w:bookmarkStart w:id="0" w:name="_br9jka19ohza"/>
      <w:bookmarkEnd w:id="0"/>
    </w:p>
    <w:p w14:paraId="68C14436" w14:textId="77777777" w:rsidR="00C5674D" w:rsidRDefault="00981F40">
      <w:pPr>
        <w:pStyle w:val="Title"/>
        <w:jc w:val="center"/>
        <w:rPr>
          <w:b/>
          <w:sz w:val="34"/>
          <w:szCs w:val="34"/>
        </w:rPr>
      </w:pPr>
      <w:r>
        <w:rPr>
          <w:b/>
          <w:color w:val="009193"/>
          <w:sz w:val="34"/>
          <w:szCs w:val="34"/>
        </w:rPr>
        <w:t>C</w:t>
      </w:r>
      <w:r>
        <w:rPr>
          <w:b/>
          <w:sz w:val="34"/>
          <w:szCs w:val="34"/>
        </w:rPr>
        <w:t xml:space="preserve">ovid-19 impact </w:t>
      </w:r>
      <w:r>
        <w:rPr>
          <w:b/>
          <w:color w:val="009193"/>
          <w:sz w:val="34"/>
          <w:szCs w:val="34"/>
        </w:rPr>
        <w:t>O</w:t>
      </w:r>
      <w:r>
        <w:rPr>
          <w:b/>
          <w:sz w:val="34"/>
          <w:szCs w:val="34"/>
        </w:rPr>
        <w:t xml:space="preserve">n </w:t>
      </w:r>
      <w:proofErr w:type="spellStart"/>
      <w:r>
        <w:rPr>
          <w:b/>
          <w:sz w:val="34"/>
          <w:szCs w:val="34"/>
        </w:rPr>
        <w:t>pa</w:t>
      </w:r>
      <w:r>
        <w:rPr>
          <w:b/>
          <w:color w:val="009193"/>
          <w:sz w:val="34"/>
          <w:szCs w:val="34"/>
        </w:rPr>
        <w:t>N</w:t>
      </w:r>
      <w:r>
        <w:rPr>
          <w:b/>
          <w:sz w:val="34"/>
          <w:szCs w:val="34"/>
        </w:rPr>
        <w:t>crea</w:t>
      </w:r>
      <w:r>
        <w:rPr>
          <w:b/>
          <w:color w:val="009193"/>
          <w:sz w:val="34"/>
          <w:szCs w:val="34"/>
        </w:rPr>
        <w:t>T</w:t>
      </w:r>
      <w:r>
        <w:rPr>
          <w:b/>
          <w:sz w:val="34"/>
          <w:szCs w:val="34"/>
        </w:rPr>
        <w:t>ic</w:t>
      </w:r>
      <w:proofErr w:type="spellEnd"/>
      <w:r>
        <w:rPr>
          <w:b/>
          <w:sz w:val="34"/>
          <w:szCs w:val="34"/>
        </w:rPr>
        <w:t xml:space="preserve"> </w:t>
      </w:r>
      <w:proofErr w:type="spellStart"/>
      <w:r>
        <w:rPr>
          <w:b/>
          <w:sz w:val="34"/>
          <w:szCs w:val="34"/>
        </w:rPr>
        <w:t>c</w:t>
      </w:r>
      <w:r>
        <w:rPr>
          <w:b/>
          <w:color w:val="009193"/>
          <w:sz w:val="34"/>
          <w:szCs w:val="34"/>
        </w:rPr>
        <w:t>A</w:t>
      </w:r>
      <w:r>
        <w:rPr>
          <w:b/>
          <w:sz w:val="34"/>
          <w:szCs w:val="34"/>
        </w:rPr>
        <w:t>ncer</w:t>
      </w:r>
      <w:proofErr w:type="spellEnd"/>
      <w:r>
        <w:rPr>
          <w:b/>
          <w:sz w:val="34"/>
          <w:szCs w:val="34"/>
        </w:rPr>
        <w:t xml:space="preserve"> </w:t>
      </w:r>
      <w:r>
        <w:rPr>
          <w:b/>
          <w:color w:val="009193"/>
          <w:sz w:val="34"/>
          <w:szCs w:val="34"/>
        </w:rPr>
        <w:t>C</w:t>
      </w:r>
      <w:r>
        <w:rPr>
          <w:b/>
          <w:sz w:val="34"/>
          <w:szCs w:val="34"/>
        </w:rPr>
        <w:t xml:space="preserve">are </w:t>
      </w:r>
      <w:proofErr w:type="spellStart"/>
      <w:r>
        <w:rPr>
          <w:b/>
          <w:sz w:val="34"/>
          <w:szCs w:val="34"/>
        </w:rPr>
        <w:t>pa</w:t>
      </w:r>
      <w:r>
        <w:rPr>
          <w:b/>
          <w:color w:val="009193"/>
          <w:sz w:val="34"/>
          <w:szCs w:val="34"/>
        </w:rPr>
        <w:t>T</w:t>
      </w:r>
      <w:r>
        <w:rPr>
          <w:b/>
          <w:sz w:val="34"/>
          <w:szCs w:val="34"/>
        </w:rPr>
        <w:t>hway</w:t>
      </w:r>
      <w:proofErr w:type="spellEnd"/>
    </w:p>
    <w:p w14:paraId="5962B617" w14:textId="77777777" w:rsidR="00C5674D" w:rsidRDefault="00C5674D">
      <w:pPr>
        <w:shd w:val="clear" w:color="auto" w:fill="FFFFFF"/>
        <w:spacing w:line="392" w:lineRule="auto"/>
        <w:jc w:val="center"/>
        <w:rPr>
          <w:rFonts w:eastAsia="Calibri"/>
          <w:b/>
          <w:i/>
          <w:sz w:val="24"/>
          <w:szCs w:val="24"/>
        </w:rPr>
      </w:pPr>
    </w:p>
    <w:p w14:paraId="3AF06E77" w14:textId="77777777" w:rsidR="00C5674D" w:rsidRDefault="00981F40">
      <w:pPr>
        <w:shd w:val="clear" w:color="auto" w:fill="FFFFFF"/>
        <w:spacing w:line="392" w:lineRule="auto"/>
        <w:jc w:val="center"/>
        <w:rPr>
          <w:rFonts w:eastAsia="Calibri"/>
          <w:b/>
          <w:i/>
          <w:sz w:val="24"/>
          <w:szCs w:val="24"/>
        </w:rPr>
      </w:pPr>
      <w:r>
        <w:rPr>
          <w:rFonts w:eastAsia="Calibri"/>
          <w:b/>
          <w:i/>
          <w:sz w:val="24"/>
          <w:szCs w:val="24"/>
        </w:rPr>
        <w:t xml:space="preserve">A National, Pan-Specialty, Multi-Centre Study of the Impact of SARS-CoV-2 on New Diagnosed Pancreatic Cancer Treatment </w:t>
      </w:r>
    </w:p>
    <w:p w14:paraId="34CAAA77" w14:textId="77777777" w:rsidR="00C5674D" w:rsidRDefault="00C5674D">
      <w:pPr>
        <w:contextualSpacing/>
        <w:jc w:val="center"/>
        <w:rPr>
          <w:rFonts w:eastAsia="Cambria"/>
          <w:b/>
          <w:bCs/>
          <w:sz w:val="32"/>
          <w:szCs w:val="32"/>
        </w:rPr>
      </w:pPr>
    </w:p>
    <w:p w14:paraId="5DFA6BE6" w14:textId="77777777" w:rsidR="00C5674D" w:rsidRDefault="00C5674D">
      <w:pPr>
        <w:contextualSpacing/>
        <w:jc w:val="center"/>
        <w:rPr>
          <w:rFonts w:eastAsia="Cambria"/>
          <w:b/>
          <w:bCs/>
          <w:sz w:val="32"/>
          <w:szCs w:val="32"/>
        </w:rPr>
      </w:pPr>
    </w:p>
    <w:p w14:paraId="6B0A3A22" w14:textId="77777777" w:rsidR="00C5674D" w:rsidRDefault="00981F40">
      <w:pPr>
        <w:contextualSpacing/>
        <w:jc w:val="center"/>
        <w:rPr>
          <w:rFonts w:eastAsia="Cambria"/>
          <w:b/>
          <w:bCs/>
          <w:sz w:val="32"/>
          <w:szCs w:val="32"/>
        </w:rPr>
      </w:pPr>
      <w:r>
        <w:rPr>
          <w:rFonts w:eastAsia="Cambria"/>
          <w:b/>
          <w:bCs/>
          <w:sz w:val="32"/>
          <w:szCs w:val="32"/>
        </w:rPr>
        <w:t>Study Protocol</w:t>
      </w:r>
    </w:p>
    <w:p w14:paraId="0265138E" w14:textId="77777777" w:rsidR="00C5674D" w:rsidRDefault="00981F40">
      <w:pPr>
        <w:contextualSpacing/>
        <w:jc w:val="center"/>
        <w:rPr>
          <w:rFonts w:eastAsia="Cambria"/>
          <w:b/>
          <w:bCs/>
          <w:sz w:val="24"/>
          <w:szCs w:val="24"/>
        </w:rPr>
      </w:pPr>
      <w:r>
        <w:rPr>
          <w:rFonts w:eastAsia="Cambria"/>
          <w:b/>
          <w:bCs/>
          <w:sz w:val="24"/>
          <w:szCs w:val="24"/>
        </w:rPr>
        <w:t>CONTACT Steering Committee</w:t>
      </w:r>
    </w:p>
    <w:p w14:paraId="7AABE2F5" w14:textId="77777777" w:rsidR="00C5674D" w:rsidRDefault="00C5674D">
      <w:pPr>
        <w:contextualSpacing/>
        <w:rPr>
          <w:rFonts w:eastAsia="Cambria"/>
          <w:color w:val="000000"/>
        </w:rPr>
      </w:pPr>
    </w:p>
    <w:p w14:paraId="2F2ECFF0" w14:textId="085C3A39" w:rsidR="00C5674D" w:rsidRDefault="00981F40">
      <w:pPr>
        <w:contextualSpacing/>
        <w:jc w:val="center"/>
        <w:rPr>
          <w:rFonts w:eastAsia="Cambria"/>
          <w:color w:val="000000"/>
        </w:rPr>
      </w:pPr>
      <w:r>
        <w:rPr>
          <w:rFonts w:eastAsia="Cambria"/>
          <w:color w:val="000000" w:themeColor="text1"/>
        </w:rPr>
        <w:t>V1.</w:t>
      </w:r>
      <w:r w:rsidR="00281ACA">
        <w:rPr>
          <w:rFonts w:eastAsia="Cambria"/>
          <w:color w:val="000000" w:themeColor="text1"/>
        </w:rPr>
        <w:t>6</w:t>
      </w:r>
    </w:p>
    <w:p w14:paraId="31EBE934" w14:textId="2AA4C9B6" w:rsidR="00C5674D" w:rsidRDefault="00281ACA">
      <w:pPr>
        <w:contextualSpacing/>
        <w:jc w:val="center"/>
        <w:rPr>
          <w:rFonts w:eastAsia="Cambria"/>
          <w:color w:val="000000"/>
        </w:rPr>
      </w:pPr>
      <w:r>
        <w:rPr>
          <w:rFonts w:eastAsia="Cambria"/>
          <w:color w:val="000000" w:themeColor="text1"/>
        </w:rPr>
        <w:t>08/12</w:t>
      </w:r>
      <w:r w:rsidR="00981F40">
        <w:rPr>
          <w:rFonts w:eastAsia="Cambria"/>
          <w:color w:val="000000" w:themeColor="text1"/>
        </w:rPr>
        <w:t>/2020</w:t>
      </w:r>
    </w:p>
    <w:p w14:paraId="425E4083" w14:textId="77777777" w:rsidR="00C5674D" w:rsidRDefault="00981F40">
      <w:pPr>
        <w:shd w:val="clear" w:color="auto" w:fill="FFFFFF"/>
        <w:spacing w:line="392" w:lineRule="auto"/>
        <w:rPr>
          <w:rFonts w:ascii="Calibri" w:eastAsia="Calibri" w:hAnsi="Calibri" w:cs="Calibri"/>
          <w:b/>
          <w:iCs/>
          <w:sz w:val="24"/>
          <w:szCs w:val="24"/>
        </w:rPr>
      </w:pPr>
      <w:r>
        <w:rPr>
          <w:rFonts w:ascii="Calibri" w:eastAsia="Calibri" w:hAnsi="Calibri" w:cs="Calibri"/>
          <w:b/>
          <w:iCs/>
          <w:noProof/>
          <w:sz w:val="24"/>
          <w:szCs w:val="24"/>
          <w:lang w:val="en-GB"/>
        </w:rPr>
        <mc:AlternateContent>
          <mc:Choice Requires="wpg">
            <w:drawing>
              <wp:inline distT="0" distB="0" distL="0" distR="0">
                <wp:extent cx="5943600" cy="1699260"/>
                <wp:effectExtent l="0" t="0" r="0" b="2540"/>
                <wp:docPr id="3"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6" descr="Logo, company name&#10;&#10;Description automatically generated"/>
                        <pic:cNvPicPr>
                          <a:picLocks noChangeAspect="1"/>
                        </pic:cNvPicPr>
                      </pic:nvPicPr>
                      <pic:blipFill>
                        <a:blip r:embed="rId12"/>
                        <a:stretch/>
                      </pic:blipFill>
                      <pic:spPr bwMode="auto">
                        <a:xfrm>
                          <a:off x="0" y="0"/>
                          <a:ext cx="5943600" cy="16992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68.0pt;height:133.8pt;" stroked="false">
                <v:path textboxrect="0,0,0,0"/>
                <v:imagedata r:id="rId13" o:title=""/>
              </v:shape>
            </w:pict>
          </mc:Fallback>
        </mc:AlternateContent>
      </w:r>
    </w:p>
    <w:sdt>
      <w:sdtPr>
        <w:rPr>
          <w:rFonts w:ascii="Arial" w:eastAsia="Arial" w:hAnsi="Arial" w:cs="Arial"/>
          <w:b w:val="0"/>
          <w:bCs w:val="0"/>
          <w:color w:val="auto"/>
          <w:sz w:val="22"/>
          <w:szCs w:val="22"/>
          <w:lang w:val="en" w:eastAsia="en-GB"/>
        </w:rPr>
        <w:id w:val="96453779"/>
        <w:docPartObj>
          <w:docPartGallery w:val="Table of Contents"/>
          <w:docPartUnique/>
        </w:docPartObj>
      </w:sdtPr>
      <w:sdtEndPr/>
      <w:sdtContent>
        <w:p w14:paraId="34DDCC83" w14:textId="77777777" w:rsidR="00C5674D" w:rsidRDefault="00981F40">
          <w:pPr>
            <w:pStyle w:val="TOCHeading"/>
          </w:pPr>
          <w:r>
            <w:t>Contents</w:t>
          </w:r>
        </w:p>
        <w:p w14:paraId="3BFB9F26" w14:textId="77777777" w:rsidR="00C5674D" w:rsidRDefault="00313CD7"/>
      </w:sdtContent>
    </w:sdt>
    <w:p w14:paraId="3F153B50" w14:textId="77777777" w:rsidR="00C5674D" w:rsidRDefault="00981F40">
      <w:pPr>
        <w:rPr>
          <w:rFonts w:eastAsia="Calibri"/>
          <w:b/>
          <w:sz w:val="28"/>
          <w:szCs w:val="28"/>
        </w:rPr>
      </w:pPr>
      <w:r>
        <w:rPr>
          <w:rFonts w:eastAsia="Calibri"/>
          <w:b/>
          <w:sz w:val="28"/>
          <w:szCs w:val="28"/>
        </w:rPr>
        <w:br w:type="page"/>
      </w:r>
    </w:p>
    <w:p w14:paraId="2C9142FB" w14:textId="77777777" w:rsidR="00C5674D" w:rsidRDefault="00981F40">
      <w:pPr>
        <w:shd w:val="clear" w:color="auto" w:fill="FFFFFF"/>
        <w:spacing w:line="392" w:lineRule="auto"/>
        <w:jc w:val="center"/>
        <w:rPr>
          <w:rFonts w:ascii="Calibri" w:eastAsia="Calibri" w:hAnsi="Calibri" w:cs="Calibri"/>
          <w:b/>
          <w:iCs/>
          <w:sz w:val="24"/>
          <w:szCs w:val="24"/>
        </w:rPr>
      </w:pPr>
      <w:r>
        <w:rPr>
          <w:rFonts w:eastAsia="Calibri"/>
          <w:b/>
          <w:sz w:val="28"/>
          <w:szCs w:val="28"/>
        </w:rPr>
        <w:lastRenderedPageBreak/>
        <w:t>CONTACT Protocol</w:t>
      </w:r>
    </w:p>
    <w:p w14:paraId="5BC365A2" w14:textId="77777777" w:rsidR="00C5674D" w:rsidRDefault="00981F40">
      <w:pPr>
        <w:pStyle w:val="Heading1"/>
        <w:rPr>
          <w:sz w:val="24"/>
          <w:szCs w:val="24"/>
        </w:rPr>
      </w:pPr>
      <w:bookmarkStart w:id="1" w:name="_Toc57205832"/>
      <w:r>
        <w:rPr>
          <w:sz w:val="24"/>
          <w:szCs w:val="24"/>
        </w:rPr>
        <w:t>Background:</w:t>
      </w:r>
      <w:bookmarkEnd w:id="1"/>
      <w:r>
        <w:rPr>
          <w:sz w:val="24"/>
          <w:szCs w:val="24"/>
        </w:rPr>
        <w:t xml:space="preserve">  </w:t>
      </w:r>
    </w:p>
    <w:p w14:paraId="721ED882" w14:textId="77777777" w:rsidR="00C5674D" w:rsidRDefault="00981F40">
      <w:pPr>
        <w:shd w:val="clear" w:color="auto" w:fill="FFFFFF"/>
        <w:spacing w:line="392" w:lineRule="auto"/>
        <w:jc w:val="both"/>
        <w:rPr>
          <w:rFonts w:eastAsia="Calibri"/>
        </w:rPr>
      </w:pPr>
      <w:r>
        <w:rPr>
          <w:rFonts w:eastAsia="Calibri"/>
        </w:rPr>
        <w:t xml:space="preserve">The SARS-CoV-2 pandemic has had an unprecedented impact on healthcare systems, with near-paralysis of non-COVID-related services during the peak of the pandemic. Pancreatic cancer is aggressive, often presenting late, with the majority of patients presenting with unresectable disease. With service disruption caused by the pandemic, there are concerns that patients with pancreatic cancer did not received optimal treatment.  The impact is currently unknown, but may have led to delays in diagnosis, modified chemotherapy regimens, [more-rapid] disease progression, and some patients offered no treatment at all.  It is essential to understand the impact of these alterations to diagnosis and treatment caused by the SARS-CoV-2 pandemic for this COVID-generation of patients in anticipation of a second-surge, or future pandemics.  </w:t>
      </w:r>
      <w:r>
        <w:rPr>
          <w:rFonts w:eastAsia="Calibri"/>
          <w:highlight w:val="yellow"/>
        </w:rPr>
        <w:t xml:space="preserve"> </w:t>
      </w:r>
    </w:p>
    <w:p w14:paraId="2464D935" w14:textId="77777777" w:rsidR="00C5674D" w:rsidRDefault="00981F40">
      <w:pPr>
        <w:pStyle w:val="Heading1"/>
        <w:rPr>
          <w:sz w:val="24"/>
          <w:szCs w:val="24"/>
        </w:rPr>
      </w:pPr>
      <w:bookmarkStart w:id="2" w:name="_Toc57205833"/>
      <w:r>
        <w:rPr>
          <w:sz w:val="24"/>
          <w:szCs w:val="24"/>
        </w:rPr>
        <w:t>Aim:</w:t>
      </w:r>
      <w:bookmarkEnd w:id="2"/>
      <w:r>
        <w:rPr>
          <w:sz w:val="24"/>
          <w:szCs w:val="24"/>
        </w:rPr>
        <w:t xml:space="preserve"> </w:t>
      </w:r>
    </w:p>
    <w:p w14:paraId="4BED81F9" w14:textId="77777777" w:rsidR="00C5674D" w:rsidRDefault="00981F40">
      <w:pPr>
        <w:shd w:val="clear" w:color="auto" w:fill="FFFFFF"/>
        <w:spacing w:line="392" w:lineRule="auto"/>
        <w:jc w:val="both"/>
        <w:rPr>
          <w:rFonts w:eastAsia="Calibri"/>
        </w:rPr>
      </w:pPr>
      <w:r>
        <w:rPr>
          <w:rFonts w:eastAsia="Calibri"/>
        </w:rPr>
        <w:t xml:space="preserve">To assess the impact of the SARS-CoV-2 pandemic on newly diagnosed pancreatic cancer patients across the UK. </w:t>
      </w:r>
    </w:p>
    <w:p w14:paraId="719FFE60" w14:textId="77777777" w:rsidR="00C5674D" w:rsidRDefault="00981F40">
      <w:pPr>
        <w:pStyle w:val="Heading1"/>
        <w:rPr>
          <w:sz w:val="24"/>
          <w:szCs w:val="24"/>
        </w:rPr>
      </w:pPr>
      <w:bookmarkStart w:id="3" w:name="_Toc57205834"/>
      <w:r>
        <w:rPr>
          <w:sz w:val="24"/>
          <w:szCs w:val="24"/>
        </w:rPr>
        <w:t>Primary objective:</w:t>
      </w:r>
      <w:bookmarkEnd w:id="3"/>
      <w:r>
        <w:rPr>
          <w:sz w:val="24"/>
          <w:szCs w:val="24"/>
        </w:rPr>
        <w:t xml:space="preserve"> </w:t>
      </w:r>
    </w:p>
    <w:p w14:paraId="21EEAFAC" w14:textId="77777777" w:rsidR="00C5674D" w:rsidRDefault="00981F40">
      <w:pPr>
        <w:shd w:val="clear" w:color="auto" w:fill="FFFFFF"/>
        <w:spacing w:line="392" w:lineRule="auto"/>
        <w:jc w:val="both"/>
        <w:rPr>
          <w:rFonts w:eastAsia="Calibri"/>
          <w:b/>
        </w:rPr>
      </w:pPr>
      <w:r>
        <w:rPr>
          <w:rFonts w:eastAsia="Calibri"/>
          <w:bCs/>
        </w:rPr>
        <w:t>To assess the rate of receipt of chemotherapy at 6- and 12-months from diagnosis during the peak of the SARS-CoV-2 pandemic, compared to pre-pandemic rates.</w:t>
      </w:r>
    </w:p>
    <w:p w14:paraId="5CD62AA1" w14:textId="77777777" w:rsidR="00C5674D" w:rsidRDefault="00981F40">
      <w:pPr>
        <w:pStyle w:val="Heading1"/>
        <w:rPr>
          <w:sz w:val="24"/>
          <w:szCs w:val="24"/>
        </w:rPr>
      </w:pPr>
      <w:bookmarkStart w:id="4" w:name="_Toc57205835"/>
      <w:r>
        <w:rPr>
          <w:sz w:val="24"/>
          <w:szCs w:val="24"/>
        </w:rPr>
        <w:t>Secondary objective:</w:t>
      </w:r>
      <w:bookmarkEnd w:id="4"/>
      <w:r>
        <w:rPr>
          <w:sz w:val="24"/>
          <w:szCs w:val="24"/>
        </w:rPr>
        <w:t xml:space="preserve"> </w:t>
      </w:r>
    </w:p>
    <w:p w14:paraId="1F2E57D4" w14:textId="77777777" w:rsidR="00C5674D" w:rsidRDefault="00981F40">
      <w:pPr>
        <w:shd w:val="clear" w:color="auto" w:fill="FFFFFF"/>
        <w:spacing w:line="392" w:lineRule="auto"/>
        <w:jc w:val="both"/>
        <w:rPr>
          <w:rFonts w:eastAsia="Calibri"/>
        </w:rPr>
      </w:pPr>
      <w:r>
        <w:rPr>
          <w:rFonts w:eastAsia="Calibri"/>
        </w:rPr>
        <w:t>To assess 6- and 12-month outcomes for patients with newly diagnosed pancreatic cancer during the peak of the SARS-CoV-2 pandemic compared to pre-pandemic outcomes for: overall mortality, rate of disease progression, changes to treatment offered, time to diagnosis and treatment, chemotherapy regimen received, radiotherapy regimens received, rates of surgery and unintended bypass.</w:t>
      </w:r>
    </w:p>
    <w:p w14:paraId="4FEC24B9" w14:textId="77777777" w:rsidR="00C5674D" w:rsidRDefault="00981F40">
      <w:pPr>
        <w:pStyle w:val="Heading1"/>
        <w:rPr>
          <w:sz w:val="24"/>
          <w:szCs w:val="24"/>
        </w:rPr>
      </w:pPr>
      <w:bookmarkStart w:id="5" w:name="_Toc57205836"/>
      <w:r>
        <w:rPr>
          <w:sz w:val="24"/>
          <w:szCs w:val="24"/>
        </w:rPr>
        <w:t>Methods:</w:t>
      </w:r>
      <w:bookmarkEnd w:id="5"/>
      <w:r>
        <w:rPr>
          <w:sz w:val="24"/>
          <w:szCs w:val="24"/>
        </w:rPr>
        <w:t xml:space="preserve"> </w:t>
      </w:r>
    </w:p>
    <w:p w14:paraId="3149BCB4" w14:textId="77777777" w:rsidR="00C5674D" w:rsidRDefault="00981F40">
      <w:pPr>
        <w:shd w:val="clear" w:color="auto" w:fill="FFFFFF"/>
        <w:spacing w:line="392" w:lineRule="auto"/>
        <w:jc w:val="both"/>
        <w:rPr>
          <w:rFonts w:eastAsia="Calibri"/>
        </w:rPr>
      </w:pPr>
      <w:r>
        <w:rPr>
          <w:rFonts w:eastAsia="Calibri"/>
        </w:rPr>
        <w:t>CONTACT is a national, multi-</w:t>
      </w:r>
      <w:proofErr w:type="spellStart"/>
      <w:r>
        <w:rPr>
          <w:rFonts w:eastAsia="Calibri"/>
        </w:rPr>
        <w:t>centre</w:t>
      </w:r>
      <w:proofErr w:type="spellEnd"/>
      <w:r>
        <w:rPr>
          <w:rFonts w:eastAsia="Calibri"/>
        </w:rPr>
        <w:t xml:space="preserve">, pan-specialty, combined retrospective and prospective review of the treatment and outcomes of patients with newly diagnosed pancreatic cancer during </w:t>
      </w:r>
      <w:r>
        <w:rPr>
          <w:rFonts w:eastAsia="Calibri"/>
        </w:rPr>
        <w:lastRenderedPageBreak/>
        <w:t xml:space="preserve">the SARS-CoV-2 pandemic. This trainee-led initiative </w:t>
      </w:r>
      <w:proofErr w:type="spellStart"/>
      <w:r>
        <w:rPr>
          <w:rFonts w:eastAsia="Calibri"/>
        </w:rPr>
        <w:t>utilises</w:t>
      </w:r>
      <w:proofErr w:type="spellEnd"/>
      <w:r>
        <w:rPr>
          <w:rFonts w:eastAsia="Calibri"/>
        </w:rPr>
        <w:t xml:space="preserve"> an efficient study design to map the alterations of diagnostic and treatment pathways for pancreatic cancer patients caused by SARS-CoV-2 restrictions.</w:t>
      </w:r>
    </w:p>
    <w:p w14:paraId="74D903A7" w14:textId="77777777" w:rsidR="00C5674D" w:rsidRDefault="00C5674D">
      <w:pPr>
        <w:shd w:val="clear" w:color="auto" w:fill="FFFFFF"/>
        <w:spacing w:line="392" w:lineRule="auto"/>
        <w:jc w:val="both"/>
        <w:rPr>
          <w:rFonts w:eastAsia="Calibri"/>
        </w:rPr>
      </w:pPr>
    </w:p>
    <w:p w14:paraId="446E1BB3" w14:textId="77777777" w:rsidR="00C5674D" w:rsidRDefault="00981F40">
      <w:pPr>
        <w:shd w:val="clear" w:color="auto" w:fill="FFFFFF"/>
        <w:spacing w:line="392" w:lineRule="auto"/>
        <w:jc w:val="both"/>
        <w:rPr>
          <w:rFonts w:eastAsia="Calibri"/>
        </w:rPr>
      </w:pPr>
      <w:r>
        <w:rPr>
          <w:rFonts w:eastAsia="Calibri"/>
        </w:rPr>
        <w:t xml:space="preserve">It is important to map the impact not only in specialist pancreatic </w:t>
      </w:r>
      <w:proofErr w:type="spellStart"/>
      <w:r>
        <w:rPr>
          <w:rFonts w:eastAsia="Calibri"/>
        </w:rPr>
        <w:t>centres</w:t>
      </w:r>
      <w:proofErr w:type="spellEnd"/>
      <w:r>
        <w:rPr>
          <w:rFonts w:eastAsia="Calibri"/>
        </w:rPr>
        <w:t xml:space="preserve">, but also in non-specialist pancreatic </w:t>
      </w:r>
      <w:proofErr w:type="spellStart"/>
      <w:r>
        <w:rPr>
          <w:rFonts w:eastAsia="Calibri"/>
        </w:rPr>
        <w:t>centres</w:t>
      </w:r>
      <w:proofErr w:type="spellEnd"/>
      <w:r>
        <w:rPr>
          <w:rFonts w:eastAsia="Calibri"/>
        </w:rPr>
        <w:t xml:space="preserve">, where the majority of care is delivered for pancreatic cancer patients, as the majority are unresectable at presentation, and chemotherapy is delivered locally at the majority of institutions. With an appreciation of time-constraints of clinicians caused by the ongoing impact of SARS-CoV-2 we have designed a study that reduces the workload on each </w:t>
      </w:r>
      <w:proofErr w:type="spellStart"/>
      <w:r>
        <w:rPr>
          <w:rFonts w:eastAsia="Calibri"/>
        </w:rPr>
        <w:t>centre</w:t>
      </w:r>
      <w:proofErr w:type="spellEnd"/>
      <w:r>
        <w:rPr>
          <w:rFonts w:eastAsia="Calibri"/>
        </w:rPr>
        <w:t xml:space="preserve">, whilst providing data spanning the whole pancreatic cancer cohort of patients.  This is achieved by patients only being entered for the study at the site they first present to, reducing the number of cases entered by specialist </w:t>
      </w:r>
      <w:proofErr w:type="spellStart"/>
      <w:r>
        <w:rPr>
          <w:rFonts w:eastAsia="Calibri"/>
        </w:rPr>
        <w:t>centres</w:t>
      </w:r>
      <w:proofErr w:type="spellEnd"/>
      <w:r>
        <w:rPr>
          <w:rFonts w:eastAsia="Calibri"/>
        </w:rPr>
        <w:t xml:space="preserve">, and evenly distributing the number of patients entered at each hospital across the referring network.  We estimate each </w:t>
      </w:r>
      <w:proofErr w:type="spellStart"/>
      <w:r>
        <w:rPr>
          <w:rFonts w:eastAsia="Calibri"/>
        </w:rPr>
        <w:t>centre</w:t>
      </w:r>
      <w:proofErr w:type="spellEnd"/>
      <w:r>
        <w:rPr>
          <w:rFonts w:eastAsia="Calibri"/>
        </w:rPr>
        <w:t xml:space="preserve"> will enter 5-20 patients per study time period in an average sized hospital.  </w:t>
      </w:r>
    </w:p>
    <w:p w14:paraId="4F296995" w14:textId="77777777" w:rsidR="00C5674D" w:rsidRDefault="00981F40">
      <w:pPr>
        <w:pStyle w:val="Heading2"/>
        <w:rPr>
          <w:sz w:val="24"/>
          <w:szCs w:val="24"/>
        </w:rPr>
      </w:pPr>
      <w:bookmarkStart w:id="6" w:name="_Toc57205837"/>
      <w:r>
        <w:rPr>
          <w:sz w:val="24"/>
          <w:szCs w:val="24"/>
        </w:rPr>
        <w:t>Patient Inclusion:</w:t>
      </w:r>
      <w:bookmarkEnd w:id="6"/>
    </w:p>
    <w:p w14:paraId="02C464E1" w14:textId="5E1F0229" w:rsidR="00C5674D" w:rsidRDefault="00981F40">
      <w:pPr>
        <w:pStyle w:val="ListParagraph"/>
        <w:numPr>
          <w:ilvl w:val="0"/>
          <w:numId w:val="4"/>
        </w:numPr>
        <w:shd w:val="clear" w:color="auto" w:fill="FFFFFF"/>
        <w:spacing w:line="392" w:lineRule="auto"/>
        <w:jc w:val="both"/>
        <w:rPr>
          <w:rFonts w:eastAsia="Calibri"/>
        </w:rPr>
      </w:pPr>
      <w:r>
        <w:rPr>
          <w:rFonts w:eastAsia="Calibri"/>
        </w:rPr>
        <w:t xml:space="preserve">All adult patients </w:t>
      </w:r>
      <w:r w:rsidR="00447194">
        <w:rPr>
          <w:rFonts w:eastAsia="Calibri"/>
        </w:rPr>
        <w:t xml:space="preserve">aged 18 and over with </w:t>
      </w:r>
      <w:r>
        <w:rPr>
          <w:rFonts w:eastAsia="Calibri"/>
        </w:rPr>
        <w:t>newly diagnosed with suspected pancreatic cancer (presenting during the ‘</w:t>
      </w:r>
      <w:r>
        <w:rPr>
          <w:rFonts w:eastAsia="Calibri"/>
          <w:i/>
          <w:iCs/>
        </w:rPr>
        <w:t>patient entry period’</w:t>
      </w:r>
      <w:r>
        <w:rPr>
          <w:rFonts w:eastAsia="Calibri"/>
        </w:rPr>
        <w:t xml:space="preserve"> defined below) i.e. those discussed at MDT during the patient entry period as a new presentation/diagnosis of suspected pancreatic cancer.</w:t>
      </w:r>
    </w:p>
    <w:p w14:paraId="435EC6DB" w14:textId="77777777" w:rsidR="00C5674D" w:rsidRDefault="00981F40">
      <w:pPr>
        <w:pStyle w:val="Heading2"/>
        <w:rPr>
          <w:sz w:val="24"/>
          <w:szCs w:val="24"/>
        </w:rPr>
      </w:pPr>
      <w:bookmarkStart w:id="7" w:name="_Toc57205838"/>
      <w:r>
        <w:rPr>
          <w:sz w:val="24"/>
          <w:szCs w:val="24"/>
        </w:rPr>
        <w:t>Patient Exclusion:</w:t>
      </w:r>
      <w:bookmarkEnd w:id="7"/>
    </w:p>
    <w:p w14:paraId="25FFA577" w14:textId="77777777" w:rsidR="00C5674D" w:rsidRDefault="00981F40">
      <w:pPr>
        <w:pStyle w:val="ListParagraph"/>
        <w:numPr>
          <w:ilvl w:val="0"/>
          <w:numId w:val="4"/>
        </w:numPr>
        <w:shd w:val="clear" w:color="auto" w:fill="FFFFFF"/>
        <w:spacing w:line="392" w:lineRule="auto"/>
        <w:jc w:val="both"/>
        <w:rPr>
          <w:rFonts w:eastAsia="Calibri"/>
        </w:rPr>
      </w:pPr>
      <w:r>
        <w:rPr>
          <w:rFonts w:eastAsia="Calibri"/>
        </w:rPr>
        <w:t xml:space="preserve">Patients who </w:t>
      </w:r>
      <w:r>
        <w:rPr>
          <w:rFonts w:eastAsia="Calibri"/>
          <w:u w:val="single"/>
        </w:rPr>
        <w:t>initially presented</w:t>
      </w:r>
      <w:r>
        <w:rPr>
          <w:rFonts w:eastAsia="Calibri"/>
        </w:rPr>
        <w:t xml:space="preserve"> to a </w:t>
      </w:r>
      <w:r>
        <w:rPr>
          <w:rFonts w:eastAsia="Calibri"/>
          <w:u w:val="single"/>
        </w:rPr>
        <w:t>different hospital. The case should be captured and recorded by the hospital where the patient initially presented.</w:t>
      </w:r>
      <w:r>
        <w:rPr>
          <w:rFonts w:eastAsia="Calibri"/>
        </w:rPr>
        <w:t xml:space="preserve">  </w:t>
      </w:r>
    </w:p>
    <w:p w14:paraId="5B7B91E8" w14:textId="77777777" w:rsidR="00C5674D" w:rsidRDefault="00981F40">
      <w:pPr>
        <w:pStyle w:val="ListParagraph"/>
        <w:numPr>
          <w:ilvl w:val="1"/>
          <w:numId w:val="4"/>
        </w:numPr>
        <w:shd w:val="clear" w:color="auto" w:fill="FFFFFF"/>
        <w:spacing w:line="392" w:lineRule="auto"/>
        <w:jc w:val="both"/>
        <w:rPr>
          <w:rFonts w:eastAsia="Calibri"/>
          <w:i/>
          <w:iCs/>
        </w:rPr>
      </w:pPr>
      <w:r>
        <w:rPr>
          <w:rFonts w:eastAsia="Calibri"/>
          <w:i/>
          <w:iCs/>
        </w:rPr>
        <w:t>e.g. patient presents at St. Elsewhere Hospital, referred to Pancreatic Central Specialist Centre – patient will not be included at Pancreatic Central Specialist Centre as was not the site of initial presentation (the case will be captured and recorded for St. Elsewhere Hospital).</w:t>
      </w:r>
    </w:p>
    <w:p w14:paraId="2E995CA8" w14:textId="77777777" w:rsidR="00C5674D" w:rsidRDefault="00981F40">
      <w:pPr>
        <w:pStyle w:val="Heading2"/>
        <w:rPr>
          <w:sz w:val="24"/>
          <w:szCs w:val="24"/>
        </w:rPr>
      </w:pPr>
      <w:bookmarkStart w:id="8" w:name="_Toc57205839"/>
      <w:r>
        <w:rPr>
          <w:sz w:val="24"/>
          <w:szCs w:val="24"/>
        </w:rPr>
        <w:t>Patient Identification:</w:t>
      </w:r>
      <w:bookmarkEnd w:id="8"/>
    </w:p>
    <w:p w14:paraId="4C8457AC" w14:textId="77777777" w:rsidR="00C5674D" w:rsidRDefault="00981F40">
      <w:pPr>
        <w:pStyle w:val="ListParagraph"/>
        <w:numPr>
          <w:ilvl w:val="0"/>
          <w:numId w:val="3"/>
        </w:numPr>
        <w:shd w:val="clear" w:color="auto" w:fill="FFFFFF"/>
        <w:spacing w:line="392" w:lineRule="auto"/>
        <w:jc w:val="both"/>
        <w:rPr>
          <w:rFonts w:eastAsia="Calibri"/>
        </w:rPr>
      </w:pPr>
      <w:r>
        <w:rPr>
          <w:rFonts w:eastAsia="Calibri"/>
        </w:rPr>
        <w:t>From MDT records (and CNS lists where appropriate)</w:t>
      </w:r>
    </w:p>
    <w:p w14:paraId="0C2435A2" w14:textId="77777777" w:rsidR="00C5674D" w:rsidRDefault="00981F40">
      <w:pPr>
        <w:pStyle w:val="ListParagraph"/>
        <w:numPr>
          <w:ilvl w:val="0"/>
          <w:numId w:val="3"/>
        </w:numPr>
        <w:shd w:val="clear" w:color="auto" w:fill="FFFFFF"/>
        <w:spacing w:line="392" w:lineRule="auto"/>
        <w:jc w:val="both"/>
        <w:rPr>
          <w:rFonts w:eastAsia="Calibri"/>
        </w:rPr>
      </w:pPr>
      <w:r>
        <w:rPr>
          <w:rFonts w:eastAsia="Calibri"/>
        </w:rPr>
        <w:lastRenderedPageBreak/>
        <w:t xml:space="preserve">Only patients presenting to the hospital should be included, </w:t>
      </w:r>
      <w:r>
        <w:rPr>
          <w:rFonts w:eastAsia="Calibri"/>
          <w:b/>
          <w:bCs/>
          <w:i/>
          <w:iCs/>
        </w:rPr>
        <w:t xml:space="preserve">not those referred from other </w:t>
      </w:r>
      <w:proofErr w:type="spellStart"/>
      <w:r>
        <w:rPr>
          <w:rFonts w:eastAsia="Calibri"/>
          <w:b/>
          <w:bCs/>
          <w:i/>
          <w:iCs/>
        </w:rPr>
        <w:t>centres</w:t>
      </w:r>
      <w:proofErr w:type="spellEnd"/>
      <w:r>
        <w:rPr>
          <w:rFonts w:eastAsia="Calibri"/>
          <w:b/>
          <w:bCs/>
          <w:i/>
          <w:iCs/>
        </w:rPr>
        <w:t xml:space="preserve"> should not be included.</w:t>
      </w:r>
      <w:r>
        <w:rPr>
          <w:rFonts w:eastAsia="Calibri"/>
          <w:b/>
          <w:bCs/>
        </w:rPr>
        <w:t xml:space="preserve"> </w:t>
      </w:r>
      <w:r>
        <w:rPr>
          <w:rFonts w:eastAsia="Calibri"/>
        </w:rPr>
        <w:t xml:space="preserve">This will prevent duplication of records across </w:t>
      </w:r>
      <w:proofErr w:type="spellStart"/>
      <w:r>
        <w:rPr>
          <w:rFonts w:eastAsia="Calibri"/>
        </w:rPr>
        <w:t>centres</w:t>
      </w:r>
      <w:proofErr w:type="spellEnd"/>
      <w:r>
        <w:rPr>
          <w:rFonts w:eastAsia="Calibri"/>
        </w:rPr>
        <w:t xml:space="preserve">, and reduce the workload to high-volume specialist </w:t>
      </w:r>
      <w:proofErr w:type="spellStart"/>
      <w:r>
        <w:rPr>
          <w:rFonts w:eastAsia="Calibri"/>
        </w:rPr>
        <w:t>centres</w:t>
      </w:r>
      <w:proofErr w:type="spellEnd"/>
      <w:r>
        <w:rPr>
          <w:rFonts w:eastAsia="Calibri"/>
        </w:rPr>
        <w:t>.</w:t>
      </w:r>
    </w:p>
    <w:p w14:paraId="642A3AA7" w14:textId="77777777" w:rsidR="00C5674D" w:rsidRDefault="00981F40">
      <w:pPr>
        <w:pStyle w:val="Heading2"/>
        <w:rPr>
          <w:sz w:val="24"/>
          <w:szCs w:val="24"/>
        </w:rPr>
      </w:pPr>
      <w:bookmarkStart w:id="9" w:name="_Toc57205840"/>
      <w:r>
        <w:rPr>
          <w:sz w:val="24"/>
          <w:szCs w:val="24"/>
        </w:rPr>
        <w:t>Centre Inclusion:</w:t>
      </w:r>
      <w:bookmarkEnd w:id="9"/>
    </w:p>
    <w:p w14:paraId="4318F85A" w14:textId="77777777" w:rsidR="00C5674D" w:rsidRDefault="00981F40">
      <w:pPr>
        <w:pStyle w:val="ListParagraph"/>
        <w:numPr>
          <w:ilvl w:val="0"/>
          <w:numId w:val="5"/>
        </w:numPr>
        <w:shd w:val="clear" w:color="auto" w:fill="FFFFFF"/>
        <w:spacing w:line="392" w:lineRule="auto"/>
        <w:jc w:val="both"/>
        <w:rPr>
          <w:rFonts w:eastAsia="Calibri"/>
        </w:rPr>
      </w:pPr>
      <w:r>
        <w:rPr>
          <w:rFonts w:eastAsia="Calibri"/>
        </w:rPr>
        <w:t>Any UK NHS hospital with a UGI/HPB MDT that manages pancreatic cancer patient treatment (including any of the following: operative, oncological, and palliative).</w:t>
      </w:r>
    </w:p>
    <w:p w14:paraId="2FFC6CD0" w14:textId="77777777" w:rsidR="00C5674D" w:rsidRDefault="00981F40">
      <w:pPr>
        <w:pStyle w:val="Heading2"/>
        <w:rPr>
          <w:sz w:val="24"/>
          <w:szCs w:val="24"/>
        </w:rPr>
      </w:pPr>
      <w:bookmarkStart w:id="10" w:name="_Toc57205841"/>
      <w:r>
        <w:rPr>
          <w:sz w:val="24"/>
          <w:szCs w:val="24"/>
        </w:rPr>
        <w:t>Patient Entry:</w:t>
      </w:r>
      <w:bookmarkEnd w:id="10"/>
    </w:p>
    <w:p w14:paraId="01E7326C" w14:textId="77777777" w:rsidR="00C5674D" w:rsidRDefault="00981F40">
      <w:pPr>
        <w:shd w:val="clear" w:color="auto" w:fill="FFFFFF"/>
        <w:spacing w:line="392" w:lineRule="auto"/>
        <w:jc w:val="both"/>
        <w:rPr>
          <w:rFonts w:eastAsia="Calibri"/>
        </w:rPr>
      </w:pPr>
      <w:r>
        <w:rPr>
          <w:rFonts w:eastAsia="Calibri"/>
        </w:rPr>
        <w:t>All patients fulfilling the inclusion criteria presenting within the following time periods:</w:t>
      </w:r>
    </w:p>
    <w:p w14:paraId="1D85F7F5" w14:textId="77777777" w:rsidR="00C5674D" w:rsidRDefault="00981F40">
      <w:pPr>
        <w:shd w:val="clear" w:color="auto" w:fill="FFFFFF"/>
        <w:spacing w:line="392" w:lineRule="auto"/>
        <w:jc w:val="both"/>
        <w:rPr>
          <w:rFonts w:eastAsia="Calibri"/>
        </w:rPr>
      </w:pPr>
      <w:r>
        <w:rPr>
          <w:rFonts w:eastAsia="Calibri"/>
          <w:i/>
          <w:iCs/>
        </w:rPr>
        <w:t>Pre-pandemic cohort:</w:t>
      </w:r>
      <w:r>
        <w:rPr>
          <w:rFonts w:eastAsia="Calibri"/>
        </w:rPr>
        <w:t xml:space="preserve"> </w:t>
      </w:r>
      <w:r>
        <w:rPr>
          <w:rFonts w:eastAsia="Calibri"/>
          <w:b/>
        </w:rPr>
        <w:t>7</w:t>
      </w:r>
      <w:r>
        <w:rPr>
          <w:rFonts w:eastAsia="Calibri"/>
          <w:b/>
          <w:vertAlign w:val="superscript"/>
        </w:rPr>
        <w:t>th</w:t>
      </w:r>
      <w:r>
        <w:rPr>
          <w:rFonts w:eastAsia="Calibri"/>
          <w:b/>
        </w:rPr>
        <w:t xml:space="preserve"> January 2019 to 3</w:t>
      </w:r>
      <w:r>
        <w:rPr>
          <w:rFonts w:eastAsia="Calibri"/>
          <w:b/>
          <w:vertAlign w:val="superscript"/>
        </w:rPr>
        <w:t>rd</w:t>
      </w:r>
      <w:r>
        <w:rPr>
          <w:rFonts w:eastAsia="Calibri"/>
          <w:b/>
        </w:rPr>
        <w:t xml:space="preserve"> March 2019</w:t>
      </w:r>
      <w:r>
        <w:rPr>
          <w:rFonts w:eastAsia="Calibri"/>
        </w:rPr>
        <w:t xml:space="preserve"> (8 weeks).</w:t>
      </w:r>
    </w:p>
    <w:p w14:paraId="3786379E" w14:textId="77777777" w:rsidR="00C5674D" w:rsidRDefault="00981F40">
      <w:pPr>
        <w:shd w:val="clear" w:color="auto" w:fill="FFFFFF"/>
        <w:spacing w:line="392" w:lineRule="auto"/>
        <w:jc w:val="both"/>
        <w:rPr>
          <w:rFonts w:eastAsia="Calibri"/>
        </w:rPr>
      </w:pPr>
      <w:r>
        <w:rPr>
          <w:rFonts w:eastAsia="Calibri"/>
          <w:i/>
          <w:iCs/>
        </w:rPr>
        <w:t>Pandemic cohort:</w:t>
      </w:r>
      <w:r>
        <w:rPr>
          <w:rFonts w:eastAsia="Calibri"/>
        </w:rPr>
        <w:t xml:space="preserve"> </w:t>
      </w:r>
      <w:r>
        <w:rPr>
          <w:rFonts w:eastAsia="Calibri"/>
          <w:b/>
        </w:rPr>
        <w:t>16</w:t>
      </w:r>
      <w:r>
        <w:rPr>
          <w:rFonts w:eastAsia="Calibri"/>
          <w:b/>
          <w:vertAlign w:val="superscript"/>
        </w:rPr>
        <w:t>th</w:t>
      </w:r>
      <w:r>
        <w:rPr>
          <w:rFonts w:eastAsia="Calibri"/>
          <w:b/>
        </w:rPr>
        <w:t xml:space="preserve"> March 2020 to 10</w:t>
      </w:r>
      <w:r>
        <w:rPr>
          <w:rFonts w:eastAsia="Calibri"/>
          <w:b/>
          <w:vertAlign w:val="superscript"/>
        </w:rPr>
        <w:t>th</w:t>
      </w:r>
      <w:r>
        <w:rPr>
          <w:rFonts w:eastAsia="Calibri"/>
          <w:b/>
        </w:rPr>
        <w:t xml:space="preserve"> May 2020</w:t>
      </w:r>
      <w:r>
        <w:rPr>
          <w:rFonts w:eastAsia="Calibri"/>
        </w:rPr>
        <w:t xml:space="preserve"> (8 weeks).</w:t>
      </w:r>
    </w:p>
    <w:p w14:paraId="33106910" w14:textId="77777777" w:rsidR="00C5674D" w:rsidRDefault="00981F40">
      <w:pPr>
        <w:pStyle w:val="Heading2"/>
        <w:rPr>
          <w:sz w:val="24"/>
          <w:szCs w:val="24"/>
        </w:rPr>
      </w:pPr>
      <w:bookmarkStart w:id="11" w:name="_Toc57205842"/>
      <w:r>
        <w:rPr>
          <w:sz w:val="24"/>
          <w:szCs w:val="24"/>
        </w:rPr>
        <w:t>Follow-up:</w:t>
      </w:r>
      <w:bookmarkEnd w:id="11"/>
    </w:p>
    <w:p w14:paraId="179B5B4A" w14:textId="77777777" w:rsidR="00C5674D" w:rsidRDefault="00981F40">
      <w:pPr>
        <w:shd w:val="clear" w:color="auto" w:fill="FFFFFF"/>
        <w:spacing w:line="392" w:lineRule="auto"/>
        <w:jc w:val="both"/>
        <w:rPr>
          <w:rFonts w:eastAsia="Calibri"/>
        </w:rPr>
      </w:pPr>
      <w:r>
        <w:rPr>
          <w:rFonts w:eastAsia="Calibri"/>
        </w:rPr>
        <w:t>6-month and 12-month follow-up periods.</w:t>
      </w:r>
    </w:p>
    <w:p w14:paraId="3E09DC82" w14:textId="77777777" w:rsidR="00C5674D" w:rsidRDefault="00981F40">
      <w:pPr>
        <w:pStyle w:val="Heading2"/>
        <w:rPr>
          <w:sz w:val="24"/>
          <w:szCs w:val="24"/>
        </w:rPr>
      </w:pPr>
      <w:bookmarkStart w:id="12" w:name="_Toc57205843"/>
      <w:r>
        <w:rPr>
          <w:sz w:val="24"/>
          <w:szCs w:val="24"/>
        </w:rPr>
        <w:t>Data collection:</w:t>
      </w:r>
      <w:bookmarkEnd w:id="12"/>
    </w:p>
    <w:p w14:paraId="1B5D2AAA" w14:textId="153180BC" w:rsidR="00C5674D" w:rsidRDefault="00981F40">
      <w:pPr>
        <w:shd w:val="clear" w:color="auto" w:fill="FFFFFF"/>
        <w:spacing w:line="392" w:lineRule="auto"/>
        <w:jc w:val="both"/>
        <w:rPr>
          <w:rFonts w:eastAsia="Calibri"/>
          <w:i/>
          <w:iCs/>
        </w:rPr>
      </w:pPr>
      <w:r>
        <w:rPr>
          <w:rFonts w:eastAsia="Calibri"/>
        </w:rPr>
        <w:t>All data will be available from routinely collected patient records, and no patients will be contacted.  Each site will need to register CONTACT study as an audit with the ho</w:t>
      </w:r>
      <w:r w:rsidR="00953574">
        <w:rPr>
          <w:rFonts w:eastAsia="Calibri"/>
        </w:rPr>
        <w:t>spital</w:t>
      </w:r>
      <w:r>
        <w:rPr>
          <w:rFonts w:eastAsia="Calibri"/>
        </w:rPr>
        <w:t xml:space="preserve"> Research and Audit Office.  No identifiable data will be entered onto the centrally held REDCap database hosted at the University of Birmingham. The case report form (CRF) of data points is concise and limited to only data relevant to answer the primary and secondary objectives.  The ‘paper version’ of the CRF can be found on the CONTACT Pancreas website, and in Appendix 1 and 2.</w:t>
      </w:r>
    </w:p>
    <w:p w14:paraId="603A8184" w14:textId="77777777" w:rsidR="00C5674D" w:rsidRDefault="00C5674D">
      <w:pPr>
        <w:shd w:val="clear" w:color="auto" w:fill="FFFFFF"/>
        <w:spacing w:line="392" w:lineRule="auto"/>
        <w:jc w:val="both"/>
        <w:rPr>
          <w:rFonts w:eastAsia="Calibri"/>
        </w:rPr>
      </w:pPr>
    </w:p>
    <w:p w14:paraId="3F8782EA" w14:textId="77777777" w:rsidR="00C5674D" w:rsidRDefault="00981F40">
      <w:pPr>
        <w:shd w:val="clear" w:color="auto" w:fill="FFFFFF"/>
        <w:spacing w:line="392" w:lineRule="auto"/>
        <w:jc w:val="both"/>
        <w:rPr>
          <w:rFonts w:eastAsia="Calibri"/>
        </w:rPr>
      </w:pPr>
      <w:r>
        <w:rPr>
          <w:rFonts w:eastAsia="Calibri"/>
        </w:rPr>
        <w:t xml:space="preserve">The data is all added to REDCap, the secure online database.  This uses branching logic, so you only asked relevant questions dependent on answers you provide throughout the form (e.g. will only be asked about adjuvant therapy IF that patient underwent surgery).  We have provided ‘paper’ versions of the CRF in appendix 1 and 2, these look very long, but due to the online branching logic the number of questions the data collectors need to answer is considerably fewer online.  </w:t>
      </w:r>
    </w:p>
    <w:p w14:paraId="4CB61C4E" w14:textId="77777777" w:rsidR="00C5674D" w:rsidRDefault="00C5674D">
      <w:pPr>
        <w:shd w:val="clear" w:color="auto" w:fill="FFFFFF"/>
        <w:spacing w:line="392" w:lineRule="auto"/>
        <w:jc w:val="both"/>
        <w:rPr>
          <w:rFonts w:eastAsia="Calibri"/>
        </w:rPr>
      </w:pPr>
    </w:p>
    <w:p w14:paraId="0168B940" w14:textId="77777777" w:rsidR="00C5674D" w:rsidRDefault="00981F40">
      <w:pPr>
        <w:shd w:val="clear" w:color="auto" w:fill="FFFFFF"/>
        <w:spacing w:line="392" w:lineRule="auto"/>
        <w:jc w:val="both"/>
        <w:rPr>
          <w:rFonts w:eastAsia="Calibri"/>
        </w:rPr>
      </w:pPr>
      <w:r>
        <w:rPr>
          <w:rFonts w:eastAsia="Calibri"/>
        </w:rPr>
        <w:lastRenderedPageBreak/>
        <w:t>Data collection will cover the following elements measured against the audit standards (see below):</w:t>
      </w:r>
    </w:p>
    <w:p w14:paraId="299788B8" w14:textId="77777777" w:rsidR="00C5674D" w:rsidRDefault="00981F40">
      <w:pPr>
        <w:pStyle w:val="ListParagraph"/>
        <w:numPr>
          <w:ilvl w:val="0"/>
          <w:numId w:val="5"/>
        </w:numPr>
        <w:shd w:val="clear" w:color="auto" w:fill="FFFFFF"/>
        <w:spacing w:line="392" w:lineRule="auto"/>
        <w:jc w:val="both"/>
        <w:rPr>
          <w:rFonts w:eastAsia="Calibri"/>
        </w:rPr>
      </w:pPr>
      <w:r>
        <w:rPr>
          <w:rFonts w:eastAsia="Calibri"/>
          <w:i/>
        </w:rPr>
        <w:t>Demographics:</w:t>
      </w:r>
      <w:r>
        <w:rPr>
          <w:rFonts w:eastAsia="Calibri"/>
        </w:rPr>
        <w:t xml:space="preserve"> Age, co-morbidity (</w:t>
      </w:r>
      <w:proofErr w:type="spellStart"/>
      <w:r>
        <w:rPr>
          <w:rFonts w:eastAsia="Calibri"/>
        </w:rPr>
        <w:t>Charlson</w:t>
      </w:r>
      <w:proofErr w:type="spellEnd"/>
      <w:r>
        <w:rPr>
          <w:rFonts w:eastAsia="Calibri"/>
        </w:rPr>
        <w:t xml:space="preserve"> Comorbidity Index), deprivation index.</w:t>
      </w:r>
    </w:p>
    <w:p w14:paraId="3564C4BA" w14:textId="77777777" w:rsidR="00C5674D" w:rsidRDefault="00981F40">
      <w:pPr>
        <w:pStyle w:val="ListParagraph"/>
        <w:numPr>
          <w:ilvl w:val="0"/>
          <w:numId w:val="5"/>
        </w:numPr>
        <w:shd w:val="clear" w:color="auto" w:fill="FFFFFF"/>
        <w:spacing w:line="392" w:lineRule="auto"/>
        <w:jc w:val="both"/>
        <w:rPr>
          <w:rFonts w:eastAsia="Calibri"/>
        </w:rPr>
      </w:pPr>
      <w:r>
        <w:rPr>
          <w:rFonts w:eastAsia="Calibri"/>
          <w:i/>
        </w:rPr>
        <w:t>Diagnosis:</w:t>
      </w:r>
      <w:r>
        <w:rPr>
          <w:rFonts w:eastAsia="Calibri"/>
        </w:rPr>
        <w:t xml:space="preserve"> Date of presentation, diagnostic investigations.</w:t>
      </w:r>
    </w:p>
    <w:p w14:paraId="75DBD64A" w14:textId="77777777" w:rsidR="00C5674D" w:rsidRDefault="00981F40">
      <w:pPr>
        <w:pStyle w:val="ListParagraph"/>
        <w:numPr>
          <w:ilvl w:val="0"/>
          <w:numId w:val="5"/>
        </w:numPr>
        <w:shd w:val="clear" w:color="auto" w:fill="FFFFFF"/>
        <w:spacing w:line="392" w:lineRule="auto"/>
        <w:jc w:val="both"/>
        <w:rPr>
          <w:rFonts w:eastAsia="Calibri"/>
        </w:rPr>
      </w:pPr>
      <w:r>
        <w:rPr>
          <w:rFonts w:eastAsia="Calibri"/>
          <w:i/>
        </w:rPr>
        <w:t>6- and 12-month follow-up:</w:t>
      </w:r>
      <w:r>
        <w:rPr>
          <w:rFonts w:eastAsia="Calibri"/>
        </w:rPr>
        <w:t xml:space="preserve"> Neo-adjuvant chemotherapy (type, number of cycles), surgery (resection or bypass), adjuvant chemotherapy (type, number of cycles), palliative chemotherapy (type, number of cycles), recurrence post-operatively (date, local/metastatic), survival, COVID status.</w:t>
      </w:r>
    </w:p>
    <w:p w14:paraId="0DB8DEC1" w14:textId="77777777" w:rsidR="00C5674D" w:rsidRDefault="00981F40">
      <w:pPr>
        <w:pStyle w:val="Heading1"/>
        <w:rPr>
          <w:sz w:val="24"/>
          <w:szCs w:val="24"/>
        </w:rPr>
      </w:pPr>
      <w:bookmarkStart w:id="13" w:name="_Toc57205844"/>
      <w:r>
        <w:rPr>
          <w:sz w:val="24"/>
          <w:szCs w:val="24"/>
        </w:rPr>
        <w:t>Audit standards:</w:t>
      </w:r>
      <w:bookmarkEnd w:id="13"/>
    </w:p>
    <w:p w14:paraId="08464DFC" w14:textId="77777777" w:rsidR="00C5674D" w:rsidRDefault="00981F40">
      <w:pPr>
        <w:pStyle w:val="NormalWeb"/>
        <w:spacing w:line="360" w:lineRule="auto"/>
        <w:rPr>
          <w:rFonts w:ascii="Arial" w:eastAsia="Calibri" w:hAnsi="Arial" w:cs="Arial"/>
          <w:i/>
          <w:iCs/>
          <w:sz w:val="22"/>
          <w:szCs w:val="22"/>
        </w:rPr>
      </w:pPr>
      <w:r>
        <w:rPr>
          <w:rFonts w:ascii="Arial" w:eastAsia="Calibri" w:hAnsi="Arial" w:cs="Arial"/>
          <w:sz w:val="22"/>
          <w:szCs w:val="22"/>
        </w:rPr>
        <w:t>Audit standards are derived from the following sources:</w:t>
      </w:r>
    </w:p>
    <w:p w14:paraId="0C2A750C" w14:textId="77777777" w:rsidR="00C5674D" w:rsidRDefault="00981F40">
      <w:pPr>
        <w:pStyle w:val="NormalWeb"/>
        <w:spacing w:line="360" w:lineRule="auto"/>
        <w:rPr>
          <w:rFonts w:ascii="Arial" w:eastAsia="Calibri" w:hAnsi="Arial" w:cs="Arial"/>
          <w:sz w:val="22"/>
          <w:szCs w:val="22"/>
        </w:rPr>
      </w:pPr>
      <w:r>
        <w:rPr>
          <w:rFonts w:ascii="Arial" w:eastAsia="Calibri" w:hAnsi="Arial" w:cs="Arial"/>
          <w:sz w:val="22"/>
          <w:szCs w:val="22"/>
        </w:rPr>
        <w:t xml:space="preserve">For the </w:t>
      </w:r>
      <w:r>
        <w:rPr>
          <w:rFonts w:ascii="Arial" w:eastAsia="Calibri" w:hAnsi="Arial" w:cs="Arial"/>
          <w:b/>
          <w:bCs/>
          <w:sz w:val="22"/>
          <w:szCs w:val="22"/>
        </w:rPr>
        <w:t>Pre-pandemic cohort</w:t>
      </w:r>
      <w:r>
        <w:rPr>
          <w:rFonts w:ascii="Arial" w:eastAsia="Calibri" w:hAnsi="Arial" w:cs="Arial"/>
          <w:sz w:val="22"/>
          <w:szCs w:val="22"/>
        </w:rPr>
        <w:t xml:space="preserve"> the </w:t>
      </w:r>
      <w:r>
        <w:rPr>
          <w:rFonts w:ascii="Arial" w:eastAsia="Calibri" w:hAnsi="Arial" w:cs="Arial"/>
          <w:i/>
          <w:iCs/>
          <w:sz w:val="22"/>
          <w:szCs w:val="22"/>
        </w:rPr>
        <w:t>‘Pancreatic cancer in adults: diagnosis and management: NICE Guideline [NG85]’</w:t>
      </w:r>
      <w:r>
        <w:rPr>
          <w:rFonts w:ascii="Arial" w:eastAsia="Calibri" w:hAnsi="Arial" w:cs="Arial"/>
          <w:sz w:val="22"/>
          <w:szCs w:val="22"/>
        </w:rPr>
        <w:t xml:space="preserve"> will be used</w:t>
      </w:r>
    </w:p>
    <w:p w14:paraId="53D8FF30" w14:textId="77777777" w:rsidR="00C5674D" w:rsidRDefault="00981F40">
      <w:pPr>
        <w:pStyle w:val="NormalWeb"/>
        <w:spacing w:line="360" w:lineRule="auto"/>
        <w:rPr>
          <w:rFonts w:ascii="Arial" w:eastAsia="Calibri" w:hAnsi="Arial" w:cs="Arial"/>
          <w:i/>
          <w:iCs/>
          <w:sz w:val="22"/>
          <w:szCs w:val="22"/>
        </w:rPr>
      </w:pPr>
      <w:r>
        <w:rPr>
          <w:rFonts w:ascii="Arial" w:eastAsia="Calibri" w:hAnsi="Arial" w:cs="Arial"/>
          <w:sz w:val="22"/>
          <w:szCs w:val="22"/>
        </w:rPr>
        <w:t xml:space="preserve">For the </w:t>
      </w:r>
      <w:r>
        <w:rPr>
          <w:rFonts w:ascii="Arial" w:eastAsia="Calibri" w:hAnsi="Arial" w:cs="Arial"/>
          <w:b/>
          <w:bCs/>
          <w:sz w:val="22"/>
          <w:szCs w:val="22"/>
        </w:rPr>
        <w:t>pandemic cohort</w:t>
      </w:r>
      <w:r>
        <w:rPr>
          <w:rFonts w:ascii="Arial" w:eastAsia="Calibri" w:hAnsi="Arial" w:cs="Arial"/>
          <w:sz w:val="22"/>
          <w:szCs w:val="22"/>
        </w:rPr>
        <w:t xml:space="preserve"> the ‘</w:t>
      </w:r>
      <w:r>
        <w:rPr>
          <w:rFonts w:ascii="Arial" w:eastAsia="Calibri" w:hAnsi="Arial" w:cs="Arial"/>
          <w:i/>
          <w:iCs/>
          <w:sz w:val="22"/>
          <w:szCs w:val="22"/>
        </w:rPr>
        <w:t>CONSENSUS STATEMENT: Considerations for the treatment of pancreatic cancer during the COVID-19 pandemic: the UK consensus position’.</w:t>
      </w:r>
    </w:p>
    <w:p w14:paraId="46C2A642" w14:textId="77777777" w:rsidR="00C5674D" w:rsidRDefault="00981F40">
      <w:pPr>
        <w:pStyle w:val="NormalWeb"/>
        <w:spacing w:line="360" w:lineRule="auto"/>
        <w:rPr>
          <w:rFonts w:ascii="Arial" w:hAnsi="Arial" w:cs="Arial"/>
        </w:rPr>
      </w:pPr>
      <w:r>
        <w:rPr>
          <w:rFonts w:ascii="Arial" w:eastAsia="Calibri" w:hAnsi="Arial" w:cs="Arial"/>
          <w:sz w:val="22"/>
          <w:szCs w:val="22"/>
        </w:rPr>
        <w:t>We will analyse the data against these standards, and also one cohort against the other.</w:t>
      </w:r>
    </w:p>
    <w:p w14:paraId="3471194E" w14:textId="77777777" w:rsidR="00C5674D" w:rsidRDefault="00981F40">
      <w:pPr>
        <w:pStyle w:val="Heading2"/>
        <w:rPr>
          <w:rFonts w:eastAsia="Times New Roman"/>
          <w:b/>
          <w:bCs/>
          <w:color w:val="0E0E0E"/>
          <w:sz w:val="22"/>
          <w:szCs w:val="22"/>
          <w:u w:val="single"/>
          <w:lang w:val="en-GB"/>
        </w:rPr>
      </w:pPr>
      <w:bookmarkStart w:id="14" w:name="_Toc57205845"/>
      <w:r>
        <w:rPr>
          <w:b/>
          <w:bCs/>
          <w:sz w:val="22"/>
          <w:szCs w:val="22"/>
          <w:u w:val="single"/>
        </w:rPr>
        <w:t xml:space="preserve">Audit standards: </w:t>
      </w:r>
      <w:r>
        <w:rPr>
          <w:b/>
          <w:bCs/>
          <w:color w:val="5F497A" w:themeColor="accent4" w:themeShade="BF"/>
          <w:sz w:val="22"/>
          <w:szCs w:val="22"/>
          <w:u w:val="single"/>
        </w:rPr>
        <w:t xml:space="preserve">Pre-pandemic cohort: </w:t>
      </w:r>
      <w:r>
        <w:rPr>
          <w:b/>
          <w:bCs/>
          <w:sz w:val="22"/>
          <w:szCs w:val="22"/>
          <w:u w:val="single"/>
        </w:rPr>
        <w:t>Pancreatic cancer in adults: diagnosis and management: NICE Guideline [NG85]</w:t>
      </w:r>
      <w:bookmarkEnd w:id="14"/>
    </w:p>
    <w:p w14:paraId="71E48B51" w14:textId="77777777" w:rsidR="00C5674D" w:rsidRDefault="00981F40">
      <w:pPr>
        <w:spacing w:before="100" w:beforeAutospacing="1" w:after="100" w:afterAutospacing="1" w:line="240" w:lineRule="auto"/>
        <w:outlineLvl w:val="3"/>
        <w:rPr>
          <w:rFonts w:eastAsia="Times New Roman"/>
          <w:b/>
          <w:bCs/>
          <w:color w:val="0E0E0E"/>
          <w:lang w:val="en-GB"/>
        </w:rPr>
      </w:pPr>
      <w:r>
        <w:rPr>
          <w:rFonts w:eastAsia="Times New Roman"/>
          <w:b/>
          <w:bCs/>
          <w:color w:val="0E0E0E"/>
          <w:lang w:val="en-GB"/>
        </w:rPr>
        <w:t>Biliary obstruction + resectable disease</w:t>
      </w:r>
    </w:p>
    <w:p w14:paraId="67C1954A" w14:textId="77777777" w:rsidR="00C5674D" w:rsidRDefault="00981F40">
      <w:pPr>
        <w:spacing w:after="180" w:line="240" w:lineRule="auto"/>
        <w:rPr>
          <w:rFonts w:eastAsia="Times New Roman"/>
          <w:color w:val="0E0E0E"/>
          <w:lang w:val="en-GB"/>
        </w:rPr>
      </w:pPr>
      <w:r>
        <w:rPr>
          <w:rFonts w:eastAsia="Times New Roman"/>
          <w:color w:val="0E0E0E"/>
          <w:lang w:val="en-GB"/>
        </w:rPr>
        <w:t xml:space="preserve">Offer </w:t>
      </w:r>
      <w:proofErr w:type="spellStart"/>
      <w:r>
        <w:rPr>
          <w:rFonts w:eastAsia="Times New Roman"/>
          <w:color w:val="0E0E0E"/>
          <w:lang w:val="en-GB"/>
        </w:rPr>
        <w:t>resectional</w:t>
      </w:r>
      <w:proofErr w:type="spellEnd"/>
      <w:r>
        <w:rPr>
          <w:rFonts w:eastAsia="Times New Roman"/>
          <w:color w:val="0E0E0E"/>
          <w:lang w:val="en-GB"/>
        </w:rPr>
        <w:t xml:space="preserve"> surgery rather than preoperative biliary drainage to people who:</w:t>
      </w:r>
    </w:p>
    <w:p w14:paraId="08892342" w14:textId="77777777" w:rsidR="00C5674D" w:rsidRDefault="00981F40">
      <w:pPr>
        <w:pStyle w:val="ListParagraph"/>
        <w:numPr>
          <w:ilvl w:val="0"/>
          <w:numId w:val="7"/>
        </w:numPr>
        <w:spacing w:after="180" w:line="240" w:lineRule="auto"/>
        <w:rPr>
          <w:rFonts w:eastAsia="Times New Roman"/>
          <w:color w:val="0E0E0E"/>
          <w:lang w:val="en-GB"/>
        </w:rPr>
      </w:pPr>
      <w:r>
        <w:rPr>
          <w:rFonts w:eastAsia="Times New Roman"/>
          <w:color w:val="0E0E0E"/>
          <w:lang w:val="en-GB"/>
        </w:rPr>
        <w:t>have resectable pancreatic cancer and obstructive jaundice </w:t>
      </w:r>
      <w:r>
        <w:rPr>
          <w:rFonts w:eastAsia="Times New Roman"/>
          <w:b/>
          <w:bCs/>
          <w:color w:val="0E0E0E"/>
          <w:lang w:val="en-GB"/>
        </w:rPr>
        <w:t>and</w:t>
      </w:r>
    </w:p>
    <w:p w14:paraId="101A599F" w14:textId="77777777" w:rsidR="00C5674D" w:rsidRDefault="00981F40">
      <w:pPr>
        <w:pStyle w:val="ListParagraph"/>
        <w:numPr>
          <w:ilvl w:val="0"/>
          <w:numId w:val="7"/>
        </w:numPr>
        <w:spacing w:after="180" w:line="240" w:lineRule="auto"/>
        <w:rPr>
          <w:rFonts w:eastAsia="Times New Roman"/>
          <w:color w:val="0E0E0E"/>
          <w:lang w:val="en-GB"/>
        </w:rPr>
      </w:pPr>
      <w:r>
        <w:rPr>
          <w:rFonts w:eastAsia="Times New Roman"/>
          <w:color w:val="0E0E0E"/>
          <w:lang w:val="en-GB"/>
        </w:rPr>
        <w:t>are well enough for the procedure </w:t>
      </w:r>
      <w:r>
        <w:rPr>
          <w:rFonts w:eastAsia="Times New Roman"/>
          <w:b/>
          <w:bCs/>
          <w:color w:val="0E0E0E"/>
          <w:lang w:val="en-GB"/>
        </w:rPr>
        <w:t>and</w:t>
      </w:r>
    </w:p>
    <w:p w14:paraId="5DECD68B" w14:textId="77777777" w:rsidR="00C5674D" w:rsidRDefault="00981F40">
      <w:pPr>
        <w:pStyle w:val="ListParagraph"/>
        <w:numPr>
          <w:ilvl w:val="0"/>
          <w:numId w:val="7"/>
        </w:numPr>
        <w:spacing w:after="180" w:line="240" w:lineRule="auto"/>
        <w:rPr>
          <w:rFonts w:eastAsia="Times New Roman"/>
          <w:color w:val="0E0E0E"/>
          <w:lang w:val="en-GB"/>
        </w:rPr>
      </w:pPr>
      <w:r>
        <w:rPr>
          <w:rFonts w:eastAsia="Times New Roman"/>
          <w:color w:val="0E0E0E"/>
          <w:lang w:val="en-GB"/>
        </w:rPr>
        <w:t>are not enrolled in a clinical trial that requires preoperative biliary drainage.</w:t>
      </w:r>
    </w:p>
    <w:p w14:paraId="61EF6BA9" w14:textId="77777777" w:rsidR="00C5674D" w:rsidRDefault="00981F40">
      <w:pPr>
        <w:rPr>
          <w:b/>
          <w:bCs/>
        </w:rPr>
      </w:pPr>
      <w:r>
        <w:rPr>
          <w:b/>
          <w:bCs/>
        </w:rPr>
        <w:t>Managing resectable and borderline resectable pancreatic cancer</w:t>
      </w:r>
    </w:p>
    <w:p w14:paraId="39021214" w14:textId="77777777" w:rsidR="00C5674D" w:rsidRDefault="00981F40">
      <w:pPr>
        <w:pStyle w:val="Heading4"/>
        <w:rPr>
          <w:i/>
          <w:iCs/>
          <w:color w:val="0E0E0E"/>
          <w:sz w:val="22"/>
          <w:szCs w:val="22"/>
        </w:rPr>
      </w:pPr>
      <w:r>
        <w:rPr>
          <w:i/>
          <w:iCs/>
          <w:color w:val="0E0E0E"/>
          <w:sz w:val="22"/>
          <w:szCs w:val="22"/>
        </w:rPr>
        <w:t>Neoadjuvant therapy</w:t>
      </w:r>
    </w:p>
    <w:p w14:paraId="1F7C6162" w14:textId="77777777" w:rsidR="00C5674D" w:rsidRDefault="00981F40">
      <w:pPr>
        <w:pStyle w:val="numbered-paragraph"/>
        <w:numPr>
          <w:ilvl w:val="0"/>
          <w:numId w:val="8"/>
        </w:numPr>
        <w:spacing w:before="0" w:beforeAutospacing="0" w:after="180" w:afterAutospacing="0"/>
        <w:rPr>
          <w:rFonts w:ascii="Arial" w:hAnsi="Arial" w:cs="Arial"/>
          <w:color w:val="0E0E0E"/>
          <w:sz w:val="22"/>
          <w:szCs w:val="22"/>
        </w:rPr>
      </w:pPr>
      <w:r>
        <w:rPr>
          <w:rFonts w:ascii="Arial" w:hAnsi="Arial" w:cs="Arial"/>
          <w:color w:val="0E0E0E"/>
          <w:sz w:val="22"/>
          <w:szCs w:val="22"/>
        </w:rPr>
        <w:t>Only consider neoadjuvant therapy for people with borderline resectable pancreatic cancer as part of a clinical trial.</w:t>
      </w:r>
    </w:p>
    <w:p w14:paraId="01B0B776" w14:textId="77777777" w:rsidR="00C5674D" w:rsidRDefault="00981F40">
      <w:pPr>
        <w:pStyle w:val="numbered-paragraph"/>
        <w:numPr>
          <w:ilvl w:val="0"/>
          <w:numId w:val="8"/>
        </w:numPr>
        <w:spacing w:before="0" w:beforeAutospacing="0" w:after="180" w:afterAutospacing="0"/>
        <w:rPr>
          <w:rFonts w:ascii="Arial" w:hAnsi="Arial" w:cs="Arial"/>
          <w:color w:val="0E0E0E"/>
          <w:sz w:val="22"/>
          <w:szCs w:val="22"/>
        </w:rPr>
      </w:pPr>
      <w:r>
        <w:rPr>
          <w:rFonts w:ascii="Arial" w:hAnsi="Arial" w:cs="Arial"/>
          <w:color w:val="0E0E0E"/>
          <w:sz w:val="22"/>
          <w:szCs w:val="22"/>
        </w:rPr>
        <w:t>Only consider neoadjuvant therapy for people with resectable pancreatic cancer as part of a clinical trial.</w:t>
      </w:r>
    </w:p>
    <w:p w14:paraId="737AC896" w14:textId="77777777" w:rsidR="00C5674D" w:rsidRDefault="00981F40">
      <w:pPr>
        <w:pStyle w:val="Heading4"/>
        <w:rPr>
          <w:i/>
          <w:iCs/>
          <w:color w:val="0E0E0E"/>
          <w:sz w:val="22"/>
          <w:szCs w:val="22"/>
        </w:rPr>
      </w:pPr>
      <w:r>
        <w:rPr>
          <w:i/>
          <w:iCs/>
          <w:color w:val="0E0E0E"/>
          <w:sz w:val="22"/>
          <w:szCs w:val="22"/>
        </w:rPr>
        <w:lastRenderedPageBreak/>
        <w:t>Adjuvant treatment</w:t>
      </w:r>
    </w:p>
    <w:p w14:paraId="486E0E77" w14:textId="77777777" w:rsidR="00C5674D" w:rsidRDefault="00981F40">
      <w:pPr>
        <w:pStyle w:val="numbered-paragraph"/>
        <w:numPr>
          <w:ilvl w:val="0"/>
          <w:numId w:val="9"/>
        </w:numPr>
        <w:spacing w:before="0" w:beforeAutospacing="0" w:after="180" w:afterAutospacing="0"/>
        <w:rPr>
          <w:rFonts w:ascii="Arial" w:hAnsi="Arial" w:cs="Arial"/>
          <w:color w:val="0E0E0E"/>
          <w:sz w:val="22"/>
          <w:szCs w:val="22"/>
        </w:rPr>
      </w:pPr>
      <w:r>
        <w:rPr>
          <w:rFonts w:ascii="Arial" w:hAnsi="Arial" w:cs="Arial"/>
          <w:color w:val="0E0E0E"/>
          <w:sz w:val="22"/>
          <w:szCs w:val="22"/>
        </w:rPr>
        <w:t>Give people time to recover from surgery before starting adjuvant therapy. Start adjuvant therapy as soon as they are expected to be well enough to tolerate all 6 cycles.</w:t>
      </w:r>
    </w:p>
    <w:p w14:paraId="412DD242" w14:textId="77777777" w:rsidR="00C5674D" w:rsidRDefault="00981F40">
      <w:pPr>
        <w:pStyle w:val="numbered-paragraph"/>
        <w:numPr>
          <w:ilvl w:val="0"/>
          <w:numId w:val="9"/>
        </w:numPr>
        <w:spacing w:before="0" w:beforeAutospacing="0" w:after="180" w:afterAutospacing="0"/>
        <w:rPr>
          <w:rFonts w:ascii="Arial" w:hAnsi="Arial" w:cs="Arial"/>
          <w:color w:val="0E0E0E"/>
          <w:sz w:val="22"/>
          <w:szCs w:val="22"/>
        </w:rPr>
      </w:pPr>
      <w:r>
        <w:rPr>
          <w:rFonts w:ascii="Arial" w:hAnsi="Arial" w:cs="Arial"/>
          <w:i/>
          <w:iCs/>
          <w:color w:val="0E0E0E"/>
          <w:sz w:val="22"/>
          <w:szCs w:val="22"/>
        </w:rPr>
        <w:t>(Offer adjuvant gemcitabine plus capecitabine to people who have had sufficient time to recover after pancreatic cancer resection)</w:t>
      </w:r>
      <w:r>
        <w:rPr>
          <w:rFonts w:ascii="Arial" w:hAnsi="Arial" w:cs="Arial"/>
          <w:color w:val="0E0E0E"/>
          <w:sz w:val="22"/>
          <w:szCs w:val="22"/>
        </w:rPr>
        <w:t xml:space="preserve"> – </w:t>
      </w:r>
      <w:r>
        <w:rPr>
          <w:rFonts w:ascii="Arial" w:hAnsi="Arial" w:cs="Arial"/>
          <w:b/>
          <w:bCs/>
          <w:color w:val="0E0E0E"/>
          <w:sz w:val="22"/>
          <w:szCs w:val="22"/>
        </w:rPr>
        <w:t>offer modified FOLFRINOX first-line</w:t>
      </w:r>
      <w:r>
        <w:rPr>
          <w:rFonts w:ascii="Arial" w:hAnsi="Arial" w:cs="Arial"/>
          <w:color w:val="0E0E0E"/>
          <w:sz w:val="22"/>
          <w:szCs w:val="22"/>
        </w:rPr>
        <w:t xml:space="preserve"> (Conroy et al. FOLFIRINOX or Gemcitabine as Adjuvant Therapy for Pancreatic Cancer. N </w:t>
      </w:r>
      <w:proofErr w:type="spellStart"/>
      <w:r>
        <w:rPr>
          <w:rFonts w:ascii="Arial" w:hAnsi="Arial" w:cs="Arial"/>
          <w:color w:val="0E0E0E"/>
          <w:sz w:val="22"/>
          <w:szCs w:val="22"/>
        </w:rPr>
        <w:t>Engl</w:t>
      </w:r>
      <w:proofErr w:type="spellEnd"/>
      <w:r>
        <w:rPr>
          <w:rFonts w:ascii="Arial" w:hAnsi="Arial" w:cs="Arial"/>
          <w:color w:val="0E0E0E"/>
          <w:sz w:val="22"/>
          <w:szCs w:val="22"/>
        </w:rPr>
        <w:t xml:space="preserve"> J Med 2018; 379:2395-2406) – </w:t>
      </w:r>
      <w:r>
        <w:rPr>
          <w:rFonts w:ascii="Arial" w:hAnsi="Arial" w:cs="Arial"/>
          <w:b/>
          <w:bCs/>
          <w:color w:val="0E0E0E"/>
          <w:sz w:val="22"/>
          <w:szCs w:val="22"/>
        </w:rPr>
        <w:t>modification to NICE Guideline standard</w:t>
      </w:r>
    </w:p>
    <w:p w14:paraId="15E7FE74" w14:textId="77777777" w:rsidR="00C5674D" w:rsidRDefault="00981F40">
      <w:pPr>
        <w:pStyle w:val="numbered-paragraph"/>
        <w:numPr>
          <w:ilvl w:val="0"/>
          <w:numId w:val="9"/>
        </w:numPr>
        <w:spacing w:before="0" w:beforeAutospacing="0" w:after="180" w:afterAutospacing="0"/>
        <w:rPr>
          <w:rFonts w:ascii="Arial" w:hAnsi="Arial" w:cs="Arial"/>
          <w:i/>
          <w:iCs/>
          <w:color w:val="0E0E0E"/>
          <w:sz w:val="22"/>
          <w:szCs w:val="22"/>
        </w:rPr>
      </w:pPr>
      <w:r>
        <w:rPr>
          <w:rFonts w:ascii="Arial" w:hAnsi="Arial" w:cs="Arial"/>
          <w:color w:val="0E0E0E"/>
          <w:sz w:val="22"/>
          <w:szCs w:val="22"/>
        </w:rPr>
        <w:t>Consider adjuvant gemcitabine plus capecitabine or gemcitabine alone</w:t>
      </w:r>
      <w:r>
        <w:rPr>
          <w:rFonts w:ascii="Arial" w:hAnsi="Arial" w:cs="Arial"/>
          <w:color w:val="0E0E0E"/>
          <w:sz w:val="22"/>
          <w:szCs w:val="22"/>
          <w:vertAlign w:val="superscript"/>
        </w:rPr>
        <w:t xml:space="preserve"> </w:t>
      </w:r>
      <w:r>
        <w:rPr>
          <w:rFonts w:ascii="Arial" w:hAnsi="Arial" w:cs="Arial"/>
          <w:color w:val="0E0E0E"/>
          <w:sz w:val="22"/>
          <w:szCs w:val="22"/>
        </w:rPr>
        <w:t>for people who are not well enough to tolerate triple-combination chemotherapy.</w:t>
      </w:r>
    </w:p>
    <w:p w14:paraId="00195EC5" w14:textId="77777777" w:rsidR="00C5674D" w:rsidRDefault="00981F40">
      <w:pPr>
        <w:rPr>
          <w:b/>
          <w:bCs/>
        </w:rPr>
      </w:pPr>
      <w:r>
        <w:rPr>
          <w:b/>
          <w:bCs/>
        </w:rPr>
        <w:t>Managing unresectable pancreatic cancer</w:t>
      </w:r>
    </w:p>
    <w:p w14:paraId="685548A3" w14:textId="77777777" w:rsidR="00C5674D" w:rsidRDefault="00981F40">
      <w:pPr>
        <w:pStyle w:val="Heading4"/>
        <w:rPr>
          <w:i/>
          <w:iCs/>
          <w:color w:val="0E0E0E"/>
          <w:sz w:val="22"/>
          <w:szCs w:val="22"/>
        </w:rPr>
      </w:pPr>
      <w:r>
        <w:rPr>
          <w:i/>
          <w:iCs/>
          <w:color w:val="0E0E0E"/>
          <w:sz w:val="22"/>
          <w:szCs w:val="22"/>
        </w:rPr>
        <w:t>Locally advanced pancreatic cancer</w:t>
      </w:r>
    </w:p>
    <w:p w14:paraId="2AD08157" w14:textId="77777777" w:rsidR="00C5674D" w:rsidRDefault="00981F40">
      <w:pPr>
        <w:pStyle w:val="numbered-paragraph"/>
        <w:numPr>
          <w:ilvl w:val="0"/>
          <w:numId w:val="10"/>
        </w:numPr>
        <w:spacing w:before="0" w:beforeAutospacing="0" w:after="180" w:afterAutospacing="0"/>
        <w:rPr>
          <w:rFonts w:ascii="Arial" w:hAnsi="Arial" w:cs="Arial"/>
          <w:sz w:val="22"/>
          <w:szCs w:val="22"/>
        </w:rPr>
      </w:pPr>
      <w:r>
        <w:rPr>
          <w:rFonts w:ascii="Arial" w:hAnsi="Arial" w:cs="Arial"/>
          <w:sz w:val="22"/>
          <w:szCs w:val="22"/>
        </w:rPr>
        <w:t>Offer systemic combination chemotherapy to people with locally advanced pancreatic cancer who are well enough to tolerate it.</w:t>
      </w:r>
    </w:p>
    <w:p w14:paraId="1BFEABD7" w14:textId="77777777" w:rsidR="00C5674D" w:rsidRDefault="00981F40">
      <w:pPr>
        <w:pStyle w:val="numbered-paragraph"/>
        <w:numPr>
          <w:ilvl w:val="0"/>
          <w:numId w:val="10"/>
        </w:numPr>
        <w:spacing w:before="0" w:beforeAutospacing="0" w:after="180" w:afterAutospacing="0"/>
        <w:rPr>
          <w:rFonts w:ascii="Arial" w:hAnsi="Arial" w:cs="Arial"/>
          <w:sz w:val="22"/>
          <w:szCs w:val="22"/>
        </w:rPr>
      </w:pPr>
      <w:r>
        <w:rPr>
          <w:rFonts w:ascii="Arial" w:hAnsi="Arial" w:cs="Arial"/>
          <w:sz w:val="22"/>
          <w:szCs w:val="22"/>
        </w:rPr>
        <w:t>Consider gemcitabine for people with locally advanced pancreatic cancer who are not well enough to tolerate combination chemotherapy.</w:t>
      </w:r>
    </w:p>
    <w:p w14:paraId="14132AA7" w14:textId="77777777" w:rsidR="00C5674D" w:rsidRDefault="00981F40">
      <w:pPr>
        <w:pStyle w:val="numbered-paragraph"/>
        <w:numPr>
          <w:ilvl w:val="0"/>
          <w:numId w:val="10"/>
        </w:numPr>
        <w:spacing w:before="0" w:beforeAutospacing="0" w:after="180" w:afterAutospacing="0"/>
        <w:rPr>
          <w:rFonts w:ascii="Arial" w:hAnsi="Arial" w:cs="Arial"/>
          <w:sz w:val="22"/>
          <w:szCs w:val="22"/>
        </w:rPr>
      </w:pPr>
      <w:r>
        <w:rPr>
          <w:rFonts w:ascii="Arial" w:hAnsi="Arial" w:cs="Arial"/>
          <w:sz w:val="22"/>
          <w:szCs w:val="22"/>
        </w:rPr>
        <w:t>When using chemoradiotherapy, consider capecitabine as the radiosensitiser.</w:t>
      </w:r>
    </w:p>
    <w:p w14:paraId="3E581073" w14:textId="77777777" w:rsidR="00C5674D" w:rsidRDefault="00981F40">
      <w:pPr>
        <w:pStyle w:val="Heading4"/>
        <w:rPr>
          <w:i/>
          <w:iCs/>
          <w:color w:val="0E0E0E"/>
          <w:sz w:val="22"/>
          <w:szCs w:val="22"/>
        </w:rPr>
      </w:pPr>
      <w:r>
        <w:rPr>
          <w:i/>
          <w:iCs/>
          <w:color w:val="0E0E0E"/>
          <w:sz w:val="22"/>
          <w:szCs w:val="22"/>
        </w:rPr>
        <w:t>Metastatic pancreatic cancer</w:t>
      </w:r>
    </w:p>
    <w:p w14:paraId="537BE611" w14:textId="77777777" w:rsidR="00C5674D" w:rsidRDefault="00981F40">
      <w:pPr>
        <w:pStyle w:val="Heading5"/>
        <w:rPr>
          <w:color w:val="0E0E0E"/>
        </w:rPr>
      </w:pPr>
      <w:r>
        <w:rPr>
          <w:color w:val="0E0E0E"/>
        </w:rPr>
        <w:t>First-line treatment</w:t>
      </w:r>
    </w:p>
    <w:p w14:paraId="5335EF4B" w14:textId="77777777" w:rsidR="00C5674D" w:rsidRDefault="00981F40">
      <w:pPr>
        <w:pStyle w:val="numbered-paragraph"/>
        <w:numPr>
          <w:ilvl w:val="0"/>
          <w:numId w:val="11"/>
        </w:numPr>
        <w:spacing w:before="0" w:beforeAutospacing="0" w:after="180" w:afterAutospacing="0"/>
        <w:rPr>
          <w:rFonts w:ascii="Arial" w:hAnsi="Arial" w:cs="Arial"/>
          <w:color w:val="0E0E0E"/>
          <w:sz w:val="22"/>
          <w:szCs w:val="22"/>
        </w:rPr>
      </w:pPr>
      <w:r>
        <w:rPr>
          <w:rFonts w:ascii="Arial" w:hAnsi="Arial" w:cs="Arial"/>
          <w:color w:val="0E0E0E"/>
          <w:sz w:val="22"/>
          <w:szCs w:val="22"/>
        </w:rPr>
        <w:t>Offer FOLFIRINOX to people with metastatic pancreatic cancer and an Eastern Cooperative Oncology Group (ECOG) performance status of 0–1.</w:t>
      </w:r>
    </w:p>
    <w:p w14:paraId="5729F745" w14:textId="77777777" w:rsidR="00C5674D" w:rsidRDefault="00981F40">
      <w:pPr>
        <w:pStyle w:val="numbered-paragraph"/>
        <w:numPr>
          <w:ilvl w:val="0"/>
          <w:numId w:val="11"/>
        </w:numPr>
        <w:spacing w:before="0" w:beforeAutospacing="0" w:after="180" w:afterAutospacing="0"/>
        <w:rPr>
          <w:rFonts w:ascii="Arial" w:hAnsi="Arial" w:cs="Arial"/>
          <w:color w:val="0E0E0E"/>
          <w:sz w:val="22"/>
          <w:szCs w:val="22"/>
        </w:rPr>
      </w:pPr>
      <w:r>
        <w:rPr>
          <w:rFonts w:ascii="Arial" w:hAnsi="Arial" w:cs="Arial"/>
          <w:color w:val="0E0E0E"/>
          <w:sz w:val="22"/>
          <w:szCs w:val="22"/>
        </w:rPr>
        <w:t>Consider gemcitabine-based combination therapy for people who are not well enough to tolerate FOLFIRINOX.</w:t>
      </w:r>
    </w:p>
    <w:p w14:paraId="000008E8" w14:textId="77777777" w:rsidR="00C5674D" w:rsidRDefault="00981F40">
      <w:pPr>
        <w:pStyle w:val="numbered-paragraph"/>
        <w:numPr>
          <w:ilvl w:val="0"/>
          <w:numId w:val="11"/>
        </w:numPr>
        <w:spacing w:before="0" w:beforeAutospacing="0" w:after="180" w:afterAutospacing="0"/>
        <w:rPr>
          <w:rFonts w:ascii="Arial" w:hAnsi="Arial" w:cs="Arial"/>
          <w:color w:val="0E0E0E"/>
          <w:sz w:val="22"/>
          <w:szCs w:val="22"/>
        </w:rPr>
      </w:pPr>
      <w:r>
        <w:rPr>
          <w:rFonts w:ascii="Arial" w:hAnsi="Arial" w:cs="Arial"/>
          <w:color w:val="0E0E0E"/>
          <w:sz w:val="22"/>
          <w:szCs w:val="22"/>
        </w:rPr>
        <w:t>Offer gemcitabine to people who are not well enough to tolerate combination chemotherapy.</w:t>
      </w:r>
    </w:p>
    <w:p w14:paraId="1C6262E8" w14:textId="77777777" w:rsidR="00C5674D" w:rsidRDefault="00981F40">
      <w:pPr>
        <w:pStyle w:val="Heading5"/>
        <w:rPr>
          <w:color w:val="0E0E0E"/>
        </w:rPr>
      </w:pPr>
      <w:r>
        <w:rPr>
          <w:color w:val="0E0E0E"/>
        </w:rPr>
        <w:t>Second-line treatment</w:t>
      </w:r>
    </w:p>
    <w:p w14:paraId="057921B9" w14:textId="77777777" w:rsidR="00C5674D" w:rsidRDefault="00981F40">
      <w:pPr>
        <w:pStyle w:val="numbered-paragraph"/>
        <w:numPr>
          <w:ilvl w:val="0"/>
          <w:numId w:val="12"/>
        </w:numPr>
        <w:spacing w:before="0" w:beforeAutospacing="0" w:after="180" w:afterAutospacing="0"/>
        <w:rPr>
          <w:rFonts w:ascii="Arial" w:hAnsi="Arial" w:cs="Arial"/>
          <w:color w:val="0E0E0E"/>
          <w:sz w:val="22"/>
          <w:szCs w:val="22"/>
        </w:rPr>
      </w:pPr>
      <w:r>
        <w:rPr>
          <w:rFonts w:ascii="Arial" w:hAnsi="Arial" w:cs="Arial"/>
          <w:color w:val="0E0E0E"/>
          <w:sz w:val="22"/>
          <w:szCs w:val="22"/>
        </w:rPr>
        <w:t>Consider oxaliplatin-based chemotherapy as second-line treatment for people who have not had first-line oxaliplatin.</w:t>
      </w:r>
    </w:p>
    <w:p w14:paraId="130F6364" w14:textId="77777777" w:rsidR="00C5674D" w:rsidRDefault="00981F40">
      <w:pPr>
        <w:pStyle w:val="numbered-paragraph"/>
        <w:numPr>
          <w:ilvl w:val="0"/>
          <w:numId w:val="12"/>
        </w:numPr>
        <w:spacing w:before="0" w:beforeAutospacing="0" w:after="180" w:afterAutospacing="0"/>
        <w:rPr>
          <w:rFonts w:ascii="Arial" w:hAnsi="Arial" w:cs="Arial"/>
          <w:color w:val="0E0E0E"/>
          <w:sz w:val="22"/>
          <w:szCs w:val="22"/>
        </w:rPr>
      </w:pPr>
      <w:r>
        <w:rPr>
          <w:rFonts w:ascii="Arial" w:hAnsi="Arial" w:cs="Arial"/>
          <w:color w:val="0E0E0E"/>
          <w:sz w:val="22"/>
          <w:szCs w:val="22"/>
        </w:rPr>
        <w:t>Consider gemcitabine-based chemotherapy</w:t>
      </w:r>
      <w:r>
        <w:rPr>
          <w:rStyle w:val="apple-converted-space"/>
          <w:rFonts w:ascii="Arial" w:hAnsi="Arial" w:cs="Arial"/>
          <w:color w:val="0E0E0E"/>
          <w:sz w:val="22"/>
          <w:szCs w:val="22"/>
        </w:rPr>
        <w:t> </w:t>
      </w:r>
      <w:r>
        <w:rPr>
          <w:rFonts w:ascii="Arial" w:hAnsi="Arial" w:cs="Arial"/>
          <w:color w:val="0E0E0E"/>
          <w:sz w:val="22"/>
          <w:szCs w:val="22"/>
        </w:rPr>
        <w:t>as second-line treatment for people whose cancer has progressed after first-line FOLFIRINOX.</w:t>
      </w:r>
    </w:p>
    <w:p w14:paraId="5064BB1C" w14:textId="77777777" w:rsidR="00C5674D" w:rsidRDefault="00C5674D">
      <w:pPr>
        <w:rPr>
          <w:rFonts w:ascii="Times New Roman" w:hAnsi="Times New Roman"/>
        </w:rPr>
      </w:pPr>
    </w:p>
    <w:p w14:paraId="436AFB76" w14:textId="77777777" w:rsidR="00C5674D" w:rsidRDefault="00981F40">
      <w:pPr>
        <w:pStyle w:val="Heading2"/>
        <w:rPr>
          <w:b/>
          <w:bCs/>
          <w:sz w:val="22"/>
          <w:szCs w:val="22"/>
          <w:u w:val="single"/>
        </w:rPr>
      </w:pPr>
      <w:bookmarkStart w:id="15" w:name="_Toc57205846"/>
      <w:r>
        <w:rPr>
          <w:b/>
          <w:bCs/>
          <w:sz w:val="22"/>
          <w:szCs w:val="22"/>
          <w:u w:val="single"/>
        </w:rPr>
        <w:t>Audit standards: Pandemic cohort: CONSENSUS STATEMENT: Considerations for the treatment of pancreatic cancer during the COVID-19 pandemic: the UK consensus position</w:t>
      </w:r>
      <w:bookmarkEnd w:id="15"/>
    </w:p>
    <w:p w14:paraId="7A3DB2FC" w14:textId="77777777" w:rsidR="00C5674D" w:rsidRDefault="00981F40">
      <w:pPr>
        <w:spacing w:before="100" w:beforeAutospacing="1" w:after="100" w:afterAutospacing="1" w:line="240" w:lineRule="auto"/>
        <w:rPr>
          <w:rFonts w:eastAsia="Times New Roman"/>
          <w:b/>
          <w:bCs/>
          <w:lang w:val="en-GB"/>
        </w:rPr>
      </w:pPr>
      <w:r>
        <w:rPr>
          <w:rFonts w:eastAsia="Times New Roman"/>
          <w:b/>
          <w:bCs/>
          <w:lang w:val="en-GB"/>
        </w:rPr>
        <w:t xml:space="preserve">Resectable and borderline resectable disease </w:t>
      </w:r>
    </w:p>
    <w:p w14:paraId="2C085493" w14:textId="77777777" w:rsidR="00C5674D" w:rsidRDefault="00981F40">
      <w:pPr>
        <w:rPr>
          <w:rFonts w:eastAsia="Times New Roman"/>
          <w:lang w:val="en-GB"/>
        </w:rPr>
      </w:pPr>
      <w:r>
        <w:rPr>
          <w:rFonts w:eastAsia="Times New Roman"/>
          <w:i/>
          <w:iCs/>
          <w:lang w:val="en-GB"/>
        </w:rPr>
        <w:lastRenderedPageBreak/>
        <w:t>Upfront treatment options</w:t>
      </w:r>
    </w:p>
    <w:p w14:paraId="56A15BF3" w14:textId="77777777" w:rsidR="00C5674D" w:rsidRDefault="00981F40">
      <w:pPr>
        <w:pStyle w:val="ListParagraph"/>
        <w:numPr>
          <w:ilvl w:val="0"/>
          <w:numId w:val="14"/>
        </w:numPr>
        <w:rPr>
          <w:rFonts w:eastAsia="Times New Roman"/>
          <w:lang w:val="en-GB"/>
        </w:rPr>
      </w:pPr>
      <w:r>
        <w:rPr>
          <w:rFonts w:eastAsia="Times New Roman"/>
          <w:lang w:val="en-GB"/>
        </w:rPr>
        <w:t xml:space="preserve">Where surgery is unavailable, consider upfront SACT (systemic anti-cancer therapy) or </w:t>
      </w:r>
      <w:proofErr w:type="spellStart"/>
      <w:r>
        <w:rPr>
          <w:rFonts w:eastAsia="Times New Roman"/>
          <w:lang w:val="en-GB"/>
        </w:rPr>
        <w:t>hypofractionated</w:t>
      </w:r>
      <w:proofErr w:type="spellEnd"/>
      <w:r>
        <w:rPr>
          <w:rFonts w:eastAsia="Times New Roman"/>
          <w:lang w:val="en-GB"/>
        </w:rPr>
        <w:t xml:space="preserve"> precision RT/CRT (radiotherapy/chemoradiotherapy).</w:t>
      </w:r>
    </w:p>
    <w:p w14:paraId="07515D3C" w14:textId="77777777" w:rsidR="00C5674D" w:rsidRDefault="00981F40">
      <w:pPr>
        <w:pStyle w:val="ListParagraph"/>
        <w:numPr>
          <w:ilvl w:val="0"/>
          <w:numId w:val="14"/>
        </w:numPr>
        <w:rPr>
          <w:rFonts w:eastAsia="Times New Roman"/>
          <w:lang w:val="en-GB"/>
        </w:rPr>
      </w:pPr>
      <w:r>
        <w:rPr>
          <w:rFonts w:eastAsia="Times New Roman"/>
          <w:lang w:val="en-GB"/>
        </w:rPr>
        <w:t>Where SACT can be used, FOLFIRINOX is preferred and may allow deferral of resection.</w:t>
      </w:r>
    </w:p>
    <w:p w14:paraId="5772861C" w14:textId="77777777" w:rsidR="00C5674D" w:rsidRDefault="00981F40">
      <w:pPr>
        <w:pStyle w:val="ListParagraph"/>
        <w:numPr>
          <w:ilvl w:val="0"/>
          <w:numId w:val="14"/>
        </w:numPr>
        <w:rPr>
          <w:rFonts w:eastAsia="Times New Roman"/>
          <w:lang w:val="en-GB"/>
        </w:rPr>
      </w:pPr>
      <w:r>
        <w:rPr>
          <w:rFonts w:eastAsia="Times New Roman"/>
          <w:lang w:val="en-GB"/>
        </w:rPr>
        <w:t xml:space="preserve">For RT, consider 25–35 </w:t>
      </w:r>
      <w:proofErr w:type="spellStart"/>
      <w:r>
        <w:rPr>
          <w:rFonts w:eastAsia="Times New Roman"/>
          <w:lang w:val="en-GB"/>
        </w:rPr>
        <w:t>Gy</w:t>
      </w:r>
      <w:proofErr w:type="spellEnd"/>
      <w:r>
        <w:rPr>
          <w:rFonts w:eastAsia="Times New Roman"/>
          <w:lang w:val="en-GB"/>
        </w:rPr>
        <w:t xml:space="preserve">/5# RT alone or 36–45 </w:t>
      </w:r>
      <w:proofErr w:type="spellStart"/>
      <w:r>
        <w:rPr>
          <w:rFonts w:eastAsia="Times New Roman"/>
          <w:lang w:val="en-GB"/>
        </w:rPr>
        <w:t>Gy</w:t>
      </w:r>
      <w:proofErr w:type="spellEnd"/>
      <w:r>
        <w:rPr>
          <w:rFonts w:eastAsia="Times New Roman"/>
          <w:lang w:val="en-GB"/>
        </w:rPr>
        <w:t>/15# CRT with concurrent capecitabine.</w:t>
      </w:r>
    </w:p>
    <w:p w14:paraId="5F8FCCAB" w14:textId="77777777" w:rsidR="00C5674D" w:rsidRDefault="00C5674D">
      <w:pPr>
        <w:ind w:left="360"/>
        <w:rPr>
          <w:rFonts w:eastAsia="Times New Roman"/>
          <w:i/>
          <w:iCs/>
          <w:lang w:val="en-GB"/>
        </w:rPr>
      </w:pPr>
    </w:p>
    <w:p w14:paraId="2AAB9690" w14:textId="77777777" w:rsidR="00C5674D" w:rsidRDefault="00981F40">
      <w:pPr>
        <w:ind w:left="360"/>
        <w:rPr>
          <w:rFonts w:eastAsia="Times New Roman"/>
          <w:lang w:val="en-GB"/>
        </w:rPr>
      </w:pPr>
      <w:r>
        <w:rPr>
          <w:rFonts w:eastAsia="Times New Roman"/>
          <w:i/>
          <w:iCs/>
          <w:lang w:val="en-GB"/>
        </w:rPr>
        <w:t>Adjuvant SACT</w:t>
      </w:r>
    </w:p>
    <w:p w14:paraId="13BBCF02" w14:textId="77777777" w:rsidR="00C5674D" w:rsidRDefault="00981F40">
      <w:pPr>
        <w:pStyle w:val="ListParagraph"/>
        <w:numPr>
          <w:ilvl w:val="0"/>
          <w:numId w:val="15"/>
        </w:numPr>
        <w:rPr>
          <w:rFonts w:eastAsia="Times New Roman"/>
          <w:i/>
          <w:iCs/>
          <w:lang w:val="en-GB"/>
        </w:rPr>
      </w:pPr>
      <w:r>
        <w:rPr>
          <w:rFonts w:eastAsia="Times New Roman"/>
          <w:i/>
          <w:iCs/>
          <w:lang w:val="en-GB"/>
        </w:rPr>
        <w:t>Decisions to give adjuvant treatment are likely to be nuanced and based on a risk–benefit analysis.</w:t>
      </w:r>
    </w:p>
    <w:p w14:paraId="27013826" w14:textId="77777777" w:rsidR="00C5674D" w:rsidRDefault="00981F40">
      <w:pPr>
        <w:pStyle w:val="ListParagraph"/>
        <w:numPr>
          <w:ilvl w:val="0"/>
          <w:numId w:val="15"/>
        </w:numPr>
        <w:rPr>
          <w:rFonts w:eastAsia="Times New Roman"/>
          <w:lang w:val="en-GB"/>
        </w:rPr>
      </w:pPr>
      <w:r>
        <w:rPr>
          <w:rFonts w:eastAsia="Times New Roman"/>
          <w:lang w:val="en-GB"/>
        </w:rPr>
        <w:t>Treatment may be deferred by up to 12 weeks following surgery.</w:t>
      </w:r>
    </w:p>
    <w:p w14:paraId="74D3DB06" w14:textId="77777777" w:rsidR="00C5674D" w:rsidRDefault="00981F40">
      <w:pPr>
        <w:pStyle w:val="ListParagraph"/>
        <w:numPr>
          <w:ilvl w:val="0"/>
          <w:numId w:val="15"/>
        </w:numPr>
        <w:rPr>
          <w:rFonts w:eastAsia="Times New Roman"/>
          <w:i/>
          <w:iCs/>
          <w:lang w:val="en-GB"/>
        </w:rPr>
      </w:pPr>
      <w:r>
        <w:rPr>
          <w:rFonts w:eastAsia="Times New Roman"/>
          <w:i/>
          <w:iCs/>
          <w:lang w:val="en-GB"/>
        </w:rPr>
        <w:t xml:space="preserve">The increased effectiveness of combination SACT should be weighed against the increased complications risk. </w:t>
      </w:r>
    </w:p>
    <w:p w14:paraId="7E86717B" w14:textId="77777777" w:rsidR="00C5674D" w:rsidRDefault="00981F40">
      <w:pPr>
        <w:spacing w:before="100" w:beforeAutospacing="1" w:after="100" w:afterAutospacing="1" w:line="240" w:lineRule="auto"/>
        <w:rPr>
          <w:rFonts w:eastAsia="Times New Roman"/>
          <w:b/>
          <w:bCs/>
          <w:lang w:val="en-GB"/>
        </w:rPr>
      </w:pPr>
      <w:r>
        <w:rPr>
          <w:rFonts w:eastAsia="Times New Roman"/>
          <w:b/>
          <w:bCs/>
          <w:lang w:val="en-GB"/>
        </w:rPr>
        <w:t xml:space="preserve">Locally advanced pancreatic cancer </w:t>
      </w:r>
    </w:p>
    <w:p w14:paraId="06BC8914" w14:textId="77777777" w:rsidR="00C5674D" w:rsidRDefault="00981F40">
      <w:pPr>
        <w:pStyle w:val="ListParagraph"/>
        <w:numPr>
          <w:ilvl w:val="0"/>
          <w:numId w:val="16"/>
        </w:numPr>
        <w:spacing w:before="100" w:beforeAutospacing="1" w:after="100" w:afterAutospacing="1" w:line="240" w:lineRule="auto"/>
        <w:rPr>
          <w:rFonts w:eastAsia="Times New Roman"/>
          <w:b/>
          <w:bCs/>
          <w:lang w:val="en-GB"/>
        </w:rPr>
      </w:pPr>
      <w:r>
        <w:rPr>
          <w:rFonts w:eastAsia="Times New Roman"/>
          <w:lang w:val="en-GB"/>
        </w:rPr>
        <w:t xml:space="preserve">For fit patients without significant comorbidities, consider four cycles of modified FOLFORINOX ± consolidation </w:t>
      </w:r>
      <w:proofErr w:type="spellStart"/>
      <w:r>
        <w:rPr>
          <w:rFonts w:eastAsia="Times New Roman"/>
          <w:lang w:val="en-GB"/>
        </w:rPr>
        <w:t>hypofractionated</w:t>
      </w:r>
      <w:proofErr w:type="spellEnd"/>
      <w:r>
        <w:rPr>
          <w:rFonts w:eastAsia="Times New Roman"/>
          <w:lang w:val="en-GB"/>
        </w:rPr>
        <w:t xml:space="preserve"> RT/CRT. </w:t>
      </w:r>
    </w:p>
    <w:p w14:paraId="09E36E74" w14:textId="77777777" w:rsidR="00C5674D" w:rsidRDefault="00981F40">
      <w:pPr>
        <w:pStyle w:val="ListParagraph"/>
        <w:numPr>
          <w:ilvl w:val="0"/>
          <w:numId w:val="16"/>
        </w:numPr>
        <w:spacing w:before="100" w:beforeAutospacing="1" w:after="100" w:afterAutospacing="1" w:line="240" w:lineRule="auto"/>
        <w:rPr>
          <w:rFonts w:eastAsia="Times New Roman"/>
          <w:b/>
          <w:bCs/>
          <w:lang w:val="en-GB"/>
        </w:rPr>
      </w:pPr>
      <w:r>
        <w:rPr>
          <w:rFonts w:eastAsia="Times New Roman"/>
          <w:lang w:val="en-GB"/>
        </w:rPr>
        <w:t>The risks of treatment in those aged over 80 years are likely to outweigh any benefit.</w:t>
      </w:r>
    </w:p>
    <w:p w14:paraId="751115BB" w14:textId="77777777" w:rsidR="00C5674D" w:rsidRDefault="00981F40">
      <w:pPr>
        <w:pStyle w:val="ListParagraph"/>
        <w:numPr>
          <w:ilvl w:val="0"/>
          <w:numId w:val="16"/>
        </w:numPr>
        <w:spacing w:before="100" w:beforeAutospacing="1" w:after="100" w:afterAutospacing="1" w:line="240" w:lineRule="auto"/>
        <w:rPr>
          <w:rFonts w:eastAsia="Times New Roman"/>
          <w:b/>
          <w:bCs/>
          <w:lang w:val="en-GB"/>
        </w:rPr>
      </w:pPr>
      <w:r>
        <w:rPr>
          <w:rFonts w:eastAsia="Times New Roman"/>
          <w:lang w:val="en-GB"/>
        </w:rPr>
        <w:t xml:space="preserve">For all other patients, consider upfront </w:t>
      </w:r>
      <w:proofErr w:type="spellStart"/>
      <w:r>
        <w:rPr>
          <w:rFonts w:eastAsia="Times New Roman"/>
          <w:lang w:val="en-GB"/>
        </w:rPr>
        <w:t>hypofractionated</w:t>
      </w:r>
      <w:proofErr w:type="spellEnd"/>
      <w:r>
        <w:rPr>
          <w:rFonts w:eastAsia="Times New Roman"/>
          <w:lang w:val="en-GB"/>
        </w:rPr>
        <w:t xml:space="preserve"> RT/CRT, with the aim of deferring SACT. </w:t>
      </w:r>
    </w:p>
    <w:p w14:paraId="2B7B8C9D" w14:textId="77777777" w:rsidR="00C5674D" w:rsidRDefault="00981F40">
      <w:pPr>
        <w:spacing w:before="100" w:beforeAutospacing="1" w:after="100" w:afterAutospacing="1" w:line="240" w:lineRule="auto"/>
        <w:rPr>
          <w:rFonts w:eastAsia="Times New Roman"/>
          <w:b/>
          <w:bCs/>
          <w:lang w:val="en-GB"/>
        </w:rPr>
      </w:pPr>
      <w:r>
        <w:rPr>
          <w:rFonts w:eastAsia="Times New Roman"/>
          <w:b/>
          <w:bCs/>
          <w:lang w:val="en-GB"/>
        </w:rPr>
        <w:t xml:space="preserve">Metastatic disease </w:t>
      </w:r>
    </w:p>
    <w:p w14:paraId="3DCE293E" w14:textId="77777777" w:rsidR="00C5674D" w:rsidRDefault="00981F40">
      <w:pPr>
        <w:rPr>
          <w:rFonts w:eastAsia="Times New Roman"/>
          <w:lang w:val="en-GB"/>
        </w:rPr>
      </w:pPr>
      <w:r>
        <w:rPr>
          <w:rFonts w:eastAsia="Times New Roman"/>
          <w:i/>
          <w:iCs/>
          <w:lang w:val="en-GB"/>
        </w:rPr>
        <w:t>First-line treatment</w:t>
      </w:r>
    </w:p>
    <w:p w14:paraId="291110EF" w14:textId="77777777" w:rsidR="00C5674D" w:rsidRDefault="00981F40">
      <w:pPr>
        <w:pStyle w:val="ListParagraph"/>
        <w:numPr>
          <w:ilvl w:val="0"/>
          <w:numId w:val="17"/>
        </w:numPr>
      </w:pPr>
      <w:r>
        <w:rPr>
          <w:rFonts w:eastAsia="Times New Roman"/>
          <w:lang w:val="en-GB"/>
        </w:rPr>
        <w:t>Risks of treatment are likely to outweigh benefits for most patients.</w:t>
      </w:r>
    </w:p>
    <w:p w14:paraId="0EC35966" w14:textId="77777777" w:rsidR="00C5674D" w:rsidRDefault="00981F40">
      <w:pPr>
        <w:pStyle w:val="ListParagraph"/>
        <w:numPr>
          <w:ilvl w:val="0"/>
          <w:numId w:val="17"/>
        </w:numPr>
      </w:pPr>
      <w:r>
        <w:rPr>
          <w:rFonts w:eastAsia="Times New Roman"/>
          <w:lang w:val="en-GB"/>
        </w:rPr>
        <w:t>Decisions to treat should be individualised and highly selective.</w:t>
      </w:r>
    </w:p>
    <w:p w14:paraId="774956D9" w14:textId="77777777" w:rsidR="00C5674D" w:rsidRDefault="00981F40">
      <w:pPr>
        <w:pStyle w:val="ListParagraph"/>
        <w:numPr>
          <w:ilvl w:val="0"/>
          <w:numId w:val="17"/>
        </w:numPr>
      </w:pPr>
      <w:r>
        <w:rPr>
          <w:rFonts w:eastAsia="Times New Roman"/>
          <w:lang w:val="en-GB"/>
        </w:rPr>
        <w:t>SACT options include gemcitabine, gemcitabine plus nab-paclitaxel or FOLFIRINOX.</w:t>
      </w:r>
    </w:p>
    <w:p w14:paraId="5395B6E5" w14:textId="77777777" w:rsidR="00C5674D" w:rsidRDefault="00981F40">
      <w:pPr>
        <w:pStyle w:val="ListParagraph"/>
        <w:numPr>
          <w:ilvl w:val="0"/>
          <w:numId w:val="17"/>
        </w:numPr>
      </w:pPr>
      <w:r>
        <w:rPr>
          <w:rFonts w:eastAsia="Times New Roman"/>
          <w:lang w:val="en-GB"/>
        </w:rPr>
        <w:t>Consider early response assessment and limiting duration of SACT where possible.</w:t>
      </w:r>
    </w:p>
    <w:p w14:paraId="319656F8" w14:textId="77777777" w:rsidR="00C5674D" w:rsidRDefault="00C5674D">
      <w:pPr>
        <w:rPr>
          <w:rFonts w:eastAsia="Times New Roman"/>
          <w:lang w:val="en-GB"/>
        </w:rPr>
      </w:pPr>
    </w:p>
    <w:p w14:paraId="6F933185" w14:textId="77777777" w:rsidR="00C5674D" w:rsidRDefault="00981F40">
      <w:pPr>
        <w:rPr>
          <w:rFonts w:eastAsia="Times New Roman"/>
          <w:lang w:val="en-GB"/>
        </w:rPr>
      </w:pPr>
      <w:r>
        <w:rPr>
          <w:rFonts w:eastAsia="Times New Roman"/>
          <w:i/>
          <w:iCs/>
          <w:lang w:val="en-GB"/>
        </w:rPr>
        <w:t>Second-line treatment</w:t>
      </w:r>
    </w:p>
    <w:p w14:paraId="7CDFBBD1" w14:textId="77777777" w:rsidR="00C5674D" w:rsidRDefault="00981F40">
      <w:pPr>
        <w:pStyle w:val="ListParagraph"/>
        <w:numPr>
          <w:ilvl w:val="0"/>
          <w:numId w:val="18"/>
        </w:numPr>
      </w:pPr>
      <w:r>
        <w:rPr>
          <w:rFonts w:eastAsia="Times New Roman"/>
          <w:lang w:val="en-GB"/>
        </w:rPr>
        <w:t xml:space="preserve">Risks of treatment outweigh potential benefits and treatment should not be routinely offered to patients. </w:t>
      </w:r>
      <w:r>
        <w:rPr>
          <w:rFonts w:eastAsia="Times New Roman"/>
          <w:lang w:val="en-GB"/>
        </w:rPr>
        <w:br/>
      </w:r>
    </w:p>
    <w:p w14:paraId="2E352E8C" w14:textId="77777777" w:rsidR="00C5674D" w:rsidRDefault="00C5674D"/>
    <w:p w14:paraId="494780CF" w14:textId="77777777" w:rsidR="00C5674D" w:rsidRDefault="00981F40">
      <w:pPr>
        <w:pStyle w:val="Heading1"/>
        <w:rPr>
          <w:sz w:val="24"/>
          <w:szCs w:val="24"/>
        </w:rPr>
      </w:pPr>
      <w:bookmarkStart w:id="16" w:name="_Toc57205847"/>
      <w:r>
        <w:rPr>
          <w:sz w:val="24"/>
          <w:szCs w:val="24"/>
        </w:rPr>
        <w:t>Governance:</w:t>
      </w:r>
      <w:bookmarkEnd w:id="16"/>
    </w:p>
    <w:p w14:paraId="572557C5" w14:textId="77777777" w:rsidR="00C5674D" w:rsidRDefault="00981F40">
      <w:pPr>
        <w:shd w:val="clear" w:color="auto" w:fill="FFFFFF"/>
        <w:spacing w:line="392" w:lineRule="auto"/>
        <w:jc w:val="both"/>
        <w:rPr>
          <w:rFonts w:eastAsia="Calibri"/>
        </w:rPr>
      </w:pPr>
      <w:r>
        <w:rPr>
          <w:rFonts w:eastAsia="Calibri"/>
        </w:rPr>
        <w:t xml:space="preserve">All </w:t>
      </w:r>
      <w:proofErr w:type="spellStart"/>
      <w:r>
        <w:rPr>
          <w:rFonts w:eastAsia="Calibri"/>
        </w:rPr>
        <w:t>centres</w:t>
      </w:r>
      <w:proofErr w:type="spellEnd"/>
      <w:r>
        <w:rPr>
          <w:rFonts w:eastAsia="Calibri"/>
        </w:rPr>
        <w:t xml:space="preserve"> must register the study with their local governance departments as an audit prior to commencement. CONTACT study qualifies as an audit and does not require formal ethics approval as no identifiable information will be shared outside the local trust.  All data will be collected on REDCap, a secure online database, hosted by the University of Birmingham.  </w:t>
      </w:r>
    </w:p>
    <w:p w14:paraId="4EA500D9" w14:textId="77777777" w:rsidR="00C5674D" w:rsidRDefault="00C5674D">
      <w:pPr>
        <w:shd w:val="clear" w:color="auto" w:fill="FFFFFF"/>
        <w:spacing w:line="392" w:lineRule="auto"/>
        <w:jc w:val="both"/>
        <w:rPr>
          <w:rFonts w:eastAsia="Calibri"/>
        </w:rPr>
      </w:pPr>
    </w:p>
    <w:p w14:paraId="2B1E6E55" w14:textId="7376BCC2" w:rsidR="00C5674D" w:rsidRDefault="00981F40">
      <w:pPr>
        <w:shd w:val="clear" w:color="auto" w:fill="FFFFFF"/>
        <w:spacing w:line="392" w:lineRule="auto"/>
        <w:jc w:val="both"/>
        <w:rPr>
          <w:rFonts w:eastAsia="Calibri"/>
        </w:rPr>
      </w:pPr>
      <w:r>
        <w:rPr>
          <w:rFonts w:eastAsia="Calibri"/>
        </w:rPr>
        <w:t xml:space="preserve">Each local team is responsible for securely storing a local list of patients entered into the study with their name, hospital number, and corresponding ‘REDCap ID’ for </w:t>
      </w:r>
      <w:r w:rsidR="00447194">
        <w:rPr>
          <w:rFonts w:eastAsia="Calibri"/>
        </w:rPr>
        <w:t>5 years</w:t>
      </w:r>
      <w:r>
        <w:rPr>
          <w:rFonts w:eastAsia="Calibri"/>
        </w:rPr>
        <w:t xml:space="preserve"> (as these patients are not identifiable outside the local trust) (see Appendix 7).  Please see Appendix 3-6 for MRC NHS REC Review tool showing NHS REC review not required for sites in England, Scotland, Wales, and Northern Ireland, which may be helpful for local governance department registration.</w:t>
      </w:r>
    </w:p>
    <w:p w14:paraId="497B8320" w14:textId="77777777" w:rsidR="00C5674D" w:rsidRDefault="00981F40">
      <w:pPr>
        <w:pStyle w:val="Heading1"/>
        <w:rPr>
          <w:sz w:val="24"/>
          <w:szCs w:val="24"/>
        </w:rPr>
      </w:pPr>
      <w:bookmarkStart w:id="17" w:name="_Toc57205848"/>
      <w:r>
        <w:rPr>
          <w:sz w:val="24"/>
          <w:szCs w:val="24"/>
        </w:rPr>
        <w:t>Centre Survey:</w:t>
      </w:r>
      <w:bookmarkEnd w:id="17"/>
    </w:p>
    <w:p w14:paraId="22625112" w14:textId="77777777" w:rsidR="00C5674D" w:rsidRDefault="00981F40">
      <w:pPr>
        <w:shd w:val="clear" w:color="auto" w:fill="FFFFFF"/>
        <w:spacing w:line="392" w:lineRule="auto"/>
        <w:jc w:val="both"/>
        <w:rPr>
          <w:rFonts w:eastAsia="Calibri"/>
        </w:rPr>
      </w:pPr>
      <w:r>
        <w:rPr>
          <w:rFonts w:eastAsia="Calibri"/>
        </w:rPr>
        <w:t xml:space="preserve">All </w:t>
      </w:r>
      <w:proofErr w:type="spellStart"/>
      <w:r>
        <w:rPr>
          <w:rFonts w:eastAsia="Calibri"/>
        </w:rPr>
        <w:t>centres</w:t>
      </w:r>
      <w:proofErr w:type="spellEnd"/>
      <w:r>
        <w:rPr>
          <w:rFonts w:eastAsia="Calibri"/>
        </w:rPr>
        <w:t xml:space="preserve"> will complete a short </w:t>
      </w:r>
      <w:proofErr w:type="spellStart"/>
      <w:r>
        <w:rPr>
          <w:rFonts w:eastAsia="Calibri"/>
        </w:rPr>
        <w:t>centre</w:t>
      </w:r>
      <w:proofErr w:type="spellEnd"/>
      <w:r>
        <w:rPr>
          <w:rFonts w:eastAsia="Calibri"/>
        </w:rPr>
        <w:t xml:space="preserve"> survey on registration of their site to confirm site-specific characteristics.</w:t>
      </w:r>
    </w:p>
    <w:p w14:paraId="30CCEF57" w14:textId="77777777" w:rsidR="00C5674D" w:rsidRDefault="00981F40">
      <w:pPr>
        <w:pStyle w:val="Heading1"/>
        <w:rPr>
          <w:sz w:val="24"/>
          <w:szCs w:val="24"/>
        </w:rPr>
      </w:pPr>
      <w:bookmarkStart w:id="18" w:name="_Toc57205849"/>
      <w:r>
        <w:rPr>
          <w:sz w:val="24"/>
          <w:szCs w:val="24"/>
        </w:rPr>
        <w:t>Centre Registration:</w:t>
      </w:r>
      <w:bookmarkEnd w:id="18"/>
    </w:p>
    <w:p w14:paraId="4106A13D" w14:textId="4F78A34A" w:rsidR="00C5674D" w:rsidRDefault="00981F40">
      <w:pPr>
        <w:shd w:val="clear" w:color="auto" w:fill="FFFFFF"/>
        <w:spacing w:line="392" w:lineRule="auto"/>
        <w:jc w:val="both"/>
        <w:rPr>
          <w:rFonts w:eastAsia="Calibri"/>
        </w:rPr>
      </w:pPr>
      <w:r>
        <w:rPr>
          <w:rFonts w:eastAsia="Calibri"/>
        </w:rPr>
        <w:t xml:space="preserve">Each local </w:t>
      </w:r>
      <w:r w:rsidR="00BE24AE">
        <w:rPr>
          <w:rFonts w:eastAsia="Calibri"/>
        </w:rPr>
        <w:t xml:space="preserve">hospital </w:t>
      </w:r>
      <w:r>
        <w:rPr>
          <w:rFonts w:eastAsia="Calibri"/>
        </w:rPr>
        <w:t xml:space="preserve">team is required to complete a registration form for central governance purposes, and to ensure we have all details for authorship for publication of the study. </w:t>
      </w:r>
      <w:r w:rsidR="00447194">
        <w:rPr>
          <w:rFonts w:eastAsia="Calibri"/>
        </w:rPr>
        <w:t xml:space="preserve">There will be one team per </w:t>
      </w:r>
      <w:proofErr w:type="spellStart"/>
      <w:r w:rsidR="00447194">
        <w:rPr>
          <w:rFonts w:eastAsia="Calibri"/>
        </w:rPr>
        <w:t>centre</w:t>
      </w:r>
      <w:proofErr w:type="spellEnd"/>
      <w:r w:rsidR="00447194">
        <w:rPr>
          <w:rFonts w:eastAsia="Calibri"/>
        </w:rPr>
        <w:t xml:space="preserve">. </w:t>
      </w:r>
      <w:r>
        <w:rPr>
          <w:rFonts w:eastAsia="Calibri"/>
        </w:rPr>
        <w:t>The</w:t>
      </w:r>
      <w:r w:rsidR="00447194">
        <w:rPr>
          <w:rFonts w:eastAsia="Calibri"/>
        </w:rPr>
        <w:t xml:space="preserve"> registration</w:t>
      </w:r>
      <w:r>
        <w:rPr>
          <w:rFonts w:eastAsia="Calibri"/>
        </w:rPr>
        <w:t xml:space="preserve"> form can be found</w:t>
      </w:r>
      <w:r w:rsidR="00447194">
        <w:rPr>
          <w:rFonts w:eastAsia="Calibri"/>
        </w:rPr>
        <w:t xml:space="preserve"> via the following link:</w:t>
      </w:r>
    </w:p>
    <w:p w14:paraId="16D1101E" w14:textId="77777777" w:rsidR="00447194" w:rsidRDefault="00447194" w:rsidP="00447194"/>
    <w:p w14:paraId="7D97D5B5" w14:textId="28CE489A" w:rsidR="00447194" w:rsidRPr="00447194" w:rsidRDefault="00447194" w:rsidP="00447194">
      <w:pPr>
        <w:jc w:val="center"/>
        <w:rPr>
          <w:sz w:val="28"/>
          <w:szCs w:val="28"/>
        </w:rPr>
      </w:pPr>
      <w:hyperlink r:id="rId14" w:history="1">
        <w:r w:rsidRPr="00447194">
          <w:rPr>
            <w:rStyle w:val="Hyperlink"/>
            <w:rFonts w:ascii="Calibri" w:hAnsi="Calibri" w:cs="Calibri"/>
            <w:sz w:val="28"/>
            <w:szCs w:val="28"/>
          </w:rPr>
          <w:t>https://redcap.link/contactaudit</w:t>
        </w:r>
      </w:hyperlink>
    </w:p>
    <w:p w14:paraId="23D57866" w14:textId="77777777" w:rsidR="00447194" w:rsidRDefault="00447194">
      <w:pPr>
        <w:shd w:val="clear" w:color="auto" w:fill="FFFFFF"/>
        <w:spacing w:line="392" w:lineRule="auto"/>
        <w:jc w:val="both"/>
        <w:rPr>
          <w:rFonts w:eastAsia="Calibri"/>
        </w:rPr>
      </w:pPr>
    </w:p>
    <w:p w14:paraId="4A02E753" w14:textId="05D0518E" w:rsidR="00C5674D" w:rsidRDefault="00981F40">
      <w:pPr>
        <w:shd w:val="clear" w:color="auto" w:fill="FFFFFF"/>
        <w:spacing w:line="392" w:lineRule="auto"/>
        <w:jc w:val="both"/>
        <w:rPr>
          <w:rFonts w:eastAsia="Calibri"/>
        </w:rPr>
      </w:pPr>
      <w:r>
        <w:rPr>
          <w:rFonts w:eastAsia="Calibri"/>
        </w:rPr>
        <w:t>As soon as the site has registered and gained local governance approval, then data collection can commence immediately. Data collection will be complete after 12 month follow-up of the last patient entered (10th May 2021).  The follow-up window will remain open until 10th June 2021 to enable entry of all follow-up data.</w:t>
      </w:r>
    </w:p>
    <w:p w14:paraId="6C713271" w14:textId="77777777" w:rsidR="00C5674D" w:rsidRDefault="00981F40">
      <w:pPr>
        <w:pStyle w:val="Heading1"/>
        <w:rPr>
          <w:sz w:val="24"/>
          <w:szCs w:val="24"/>
        </w:rPr>
      </w:pPr>
      <w:bookmarkStart w:id="19" w:name="_Toc57205850"/>
      <w:r>
        <w:rPr>
          <w:sz w:val="24"/>
          <w:szCs w:val="24"/>
        </w:rPr>
        <w:t>Authorship:</w:t>
      </w:r>
      <w:bookmarkEnd w:id="19"/>
      <w:r>
        <w:rPr>
          <w:sz w:val="24"/>
          <w:szCs w:val="24"/>
        </w:rPr>
        <w:t xml:space="preserve"> </w:t>
      </w:r>
    </w:p>
    <w:p w14:paraId="4DA90A58" w14:textId="77777777" w:rsidR="00C5674D" w:rsidRDefault="00981F40">
      <w:pPr>
        <w:spacing w:line="360" w:lineRule="auto"/>
        <w:jc w:val="both"/>
        <w:rPr>
          <w:rFonts w:eastAsia="Calibri"/>
        </w:rPr>
      </w:pPr>
      <w:r>
        <w:rPr>
          <w:rFonts w:eastAsia="Calibri"/>
        </w:rPr>
        <w:t xml:space="preserve">Authorship of all publications that result from the project will be under a collaborative authorship policy, this will be </w:t>
      </w:r>
      <w:r>
        <w:rPr>
          <w:rFonts w:eastAsia="Calibri"/>
          <w:b/>
          <w:bCs/>
          <w:i/>
        </w:rPr>
        <w:t>‘The CONTACT study group’</w:t>
      </w:r>
      <w:r>
        <w:rPr>
          <w:rFonts w:eastAsia="Calibri"/>
        </w:rPr>
        <w:t>.  All collaborators will be acknowledged according to their input to the study. There will be a steering committee, meta-coordinators, local leads and local collaborators. There may be other groups listed as appropriate. Collaborators will be listed according to hospital and then alphabetically, with local leads highlighted within this. This authorship policy is subject to alterations depending on journal requirements. All names will be PubMed citable.</w:t>
      </w:r>
    </w:p>
    <w:p w14:paraId="68FE9E05" w14:textId="77777777" w:rsidR="00C5674D" w:rsidRDefault="00981F40">
      <w:pPr>
        <w:pStyle w:val="Heading1"/>
        <w:rPr>
          <w:sz w:val="24"/>
          <w:szCs w:val="24"/>
        </w:rPr>
      </w:pPr>
      <w:bookmarkStart w:id="20" w:name="_Toc57205851"/>
      <w:r>
        <w:rPr>
          <w:sz w:val="24"/>
          <w:szCs w:val="24"/>
        </w:rPr>
        <w:lastRenderedPageBreak/>
        <w:t>Further details:</w:t>
      </w:r>
      <w:bookmarkEnd w:id="20"/>
      <w:r>
        <w:rPr>
          <w:sz w:val="24"/>
          <w:szCs w:val="24"/>
        </w:rPr>
        <w:t xml:space="preserve"> </w:t>
      </w:r>
    </w:p>
    <w:p w14:paraId="0B010DAC" w14:textId="77777777" w:rsidR="00C5674D" w:rsidRDefault="00981F40">
      <w:pPr>
        <w:spacing w:line="360" w:lineRule="auto"/>
        <w:jc w:val="both"/>
        <w:rPr>
          <w:rFonts w:eastAsia="Calibri"/>
        </w:rPr>
      </w:pPr>
      <w:r>
        <w:rPr>
          <w:rFonts w:eastAsia="Calibri"/>
        </w:rPr>
        <w:t>Please visit our website for the most up to date versions of documents</w:t>
      </w:r>
    </w:p>
    <w:p w14:paraId="42762985" w14:textId="27BE8ECD" w:rsidR="00C5674D" w:rsidRPr="00464CC2" w:rsidRDefault="00981F40" w:rsidP="00464CC2">
      <w:pPr>
        <w:spacing w:line="480" w:lineRule="auto"/>
        <w:rPr>
          <w:b/>
          <w:bCs/>
          <w:color w:val="000000" w:themeColor="text1"/>
        </w:rPr>
      </w:pPr>
      <w:r w:rsidRPr="00464CC2">
        <w:rPr>
          <w:rFonts w:eastAsia="Calibri"/>
          <w:b/>
          <w:bCs/>
          <w:color w:val="000000" w:themeColor="text1"/>
        </w:rPr>
        <w:t xml:space="preserve">Website: </w:t>
      </w:r>
      <w:r w:rsidR="00464CC2" w:rsidRPr="00464CC2">
        <w:rPr>
          <w:rFonts w:eastAsia="Calibri"/>
          <w:b/>
          <w:bCs/>
          <w:color w:val="000000" w:themeColor="text1"/>
        </w:rPr>
        <w:tab/>
      </w:r>
      <w:hyperlink r:id="rId15" w:history="1">
        <w:r w:rsidR="00464CC2" w:rsidRPr="00464CC2">
          <w:rPr>
            <w:rStyle w:val="Hyperlink"/>
            <w:b/>
            <w:bCs/>
            <w:color w:val="000000" w:themeColor="text1"/>
          </w:rPr>
          <w:t>https://www.psgbi.org/contact-study/</w:t>
        </w:r>
      </w:hyperlink>
    </w:p>
    <w:p w14:paraId="4A23A955" w14:textId="54792876" w:rsidR="00C5674D" w:rsidRPr="00464CC2" w:rsidRDefault="00981F40" w:rsidP="00464CC2">
      <w:pPr>
        <w:spacing w:line="480" w:lineRule="auto"/>
        <w:jc w:val="both"/>
        <w:rPr>
          <w:rFonts w:eastAsia="Calibri"/>
          <w:b/>
          <w:bCs/>
          <w:color w:val="000000" w:themeColor="text1"/>
        </w:rPr>
      </w:pPr>
      <w:r w:rsidRPr="00464CC2">
        <w:rPr>
          <w:rFonts w:eastAsia="Calibri"/>
          <w:b/>
          <w:bCs/>
          <w:color w:val="000000" w:themeColor="text1"/>
        </w:rPr>
        <w:t xml:space="preserve">Email: </w:t>
      </w:r>
      <w:r w:rsidR="00464CC2" w:rsidRPr="00464CC2">
        <w:rPr>
          <w:rFonts w:eastAsia="Calibri"/>
          <w:b/>
          <w:bCs/>
          <w:color w:val="000000" w:themeColor="text1"/>
        </w:rPr>
        <w:tab/>
      </w:r>
      <w:r w:rsidR="00862153" w:rsidRPr="00464CC2">
        <w:rPr>
          <w:b/>
          <w:bCs/>
          <w:color w:val="000000" w:themeColor="text1"/>
        </w:rPr>
        <w:t>CONTACTaudit@contacts.bham.ac.uk</w:t>
      </w:r>
    </w:p>
    <w:p w14:paraId="17EAE30B" w14:textId="4712167A" w:rsidR="00C5674D" w:rsidRPr="00464CC2" w:rsidRDefault="00981F40" w:rsidP="00464CC2">
      <w:pPr>
        <w:spacing w:line="480" w:lineRule="auto"/>
        <w:jc w:val="both"/>
        <w:rPr>
          <w:rFonts w:eastAsia="Calibri"/>
          <w:b/>
          <w:bCs/>
          <w:color w:val="000000" w:themeColor="text1"/>
        </w:rPr>
      </w:pPr>
      <w:r w:rsidRPr="00464CC2">
        <w:rPr>
          <w:rFonts w:eastAsia="Calibri"/>
          <w:b/>
          <w:bCs/>
          <w:color w:val="000000" w:themeColor="text1"/>
        </w:rPr>
        <w:t xml:space="preserve">Twitter: </w:t>
      </w:r>
      <w:r w:rsidR="00464CC2" w:rsidRPr="00464CC2">
        <w:rPr>
          <w:rFonts w:eastAsia="Calibri"/>
          <w:b/>
          <w:bCs/>
          <w:color w:val="000000" w:themeColor="text1"/>
        </w:rPr>
        <w:tab/>
      </w:r>
      <w:r w:rsidRPr="00464CC2">
        <w:rPr>
          <w:rFonts w:eastAsia="Calibri"/>
          <w:b/>
          <w:bCs/>
          <w:color w:val="000000" w:themeColor="text1"/>
        </w:rPr>
        <w:t>@contactPancreas</w:t>
      </w:r>
    </w:p>
    <w:p w14:paraId="2914DC89" w14:textId="77777777" w:rsidR="00C5674D" w:rsidRDefault="00981F40">
      <w:pPr>
        <w:rPr>
          <w:rFonts w:eastAsia="Calibri"/>
          <w:b/>
          <w:bCs/>
          <w:color w:val="4A4A4A"/>
          <w:sz w:val="24"/>
          <w:szCs w:val="24"/>
        </w:rPr>
      </w:pPr>
      <w:r>
        <w:rPr>
          <w:rFonts w:eastAsia="Calibri"/>
          <w:b/>
          <w:bCs/>
          <w:color w:val="4A4A4A"/>
          <w:sz w:val="24"/>
          <w:szCs w:val="24"/>
        </w:rPr>
        <w:br w:type="page"/>
      </w:r>
    </w:p>
    <w:p w14:paraId="205D4ECF" w14:textId="77777777" w:rsidR="00C5674D" w:rsidRDefault="00981F40">
      <w:pPr>
        <w:pStyle w:val="Heading1"/>
        <w:rPr>
          <w:sz w:val="24"/>
          <w:szCs w:val="24"/>
        </w:rPr>
      </w:pPr>
      <w:bookmarkStart w:id="21" w:name="_Toc57205852"/>
      <w:r>
        <w:rPr>
          <w:sz w:val="24"/>
          <w:szCs w:val="24"/>
        </w:rPr>
        <w:lastRenderedPageBreak/>
        <w:t>Steering committee</w:t>
      </w:r>
      <w:bookmarkEnd w:id="21"/>
    </w:p>
    <w:p w14:paraId="36A52947" w14:textId="77777777" w:rsidR="00C5674D" w:rsidRDefault="00C5674D">
      <w:pPr>
        <w:rPr>
          <w:rFonts w:eastAsia="Calibri"/>
          <w:color w:val="4A4A4A"/>
        </w:rPr>
      </w:pPr>
    </w:p>
    <w:tbl>
      <w:tblPr>
        <w:tblW w:w="8646" w:type="dxa"/>
        <w:tblInd w:w="570" w:type="dxa"/>
        <w:tblBorders>
          <w:insideH w:val="single" w:sz="4" w:space="0" w:color="00000A"/>
          <w:insideV w:val="single" w:sz="4" w:space="0" w:color="00000A"/>
        </w:tblBorders>
        <w:tblCellMar>
          <w:top w:w="72" w:type="dxa"/>
          <w:left w:w="144" w:type="dxa"/>
          <w:bottom w:w="72" w:type="dxa"/>
          <w:right w:w="144" w:type="dxa"/>
        </w:tblCellMar>
        <w:tblLook w:val="0420" w:firstRow="1" w:lastRow="0" w:firstColumn="0" w:lastColumn="0" w:noHBand="0" w:noVBand="1"/>
      </w:tblPr>
      <w:tblGrid>
        <w:gridCol w:w="2268"/>
        <w:gridCol w:w="6378"/>
      </w:tblGrid>
      <w:tr w:rsidR="00C5674D" w14:paraId="3B278CEE" w14:textId="77777777">
        <w:trPr>
          <w:trHeight w:val="20"/>
        </w:trPr>
        <w:tc>
          <w:tcPr>
            <w:tcW w:w="2268" w:type="dxa"/>
            <w:shd w:val="clear" w:color="auto" w:fill="auto"/>
          </w:tcPr>
          <w:p w14:paraId="792D469B" w14:textId="77777777" w:rsidR="00C5674D" w:rsidRDefault="00981F40">
            <w:pPr>
              <w:shd w:val="clear" w:color="auto" w:fill="FFFFFF" w:themeFill="background1"/>
              <w:spacing w:before="200"/>
              <w:contextualSpacing/>
              <w:rPr>
                <w:lang w:val="en-US"/>
              </w:rPr>
            </w:pPr>
            <w:r>
              <w:t>Siobhan McKay</w:t>
            </w:r>
          </w:p>
        </w:tc>
        <w:tc>
          <w:tcPr>
            <w:tcW w:w="6378" w:type="dxa"/>
          </w:tcPr>
          <w:p w14:paraId="58FAA2E4" w14:textId="77777777" w:rsidR="00C5674D" w:rsidRDefault="00981F40">
            <w:pPr>
              <w:shd w:val="clear" w:color="auto" w:fill="FFFFFF" w:themeFill="background1"/>
              <w:spacing w:before="200"/>
              <w:ind w:hanging="6"/>
              <w:contextualSpacing/>
            </w:pPr>
            <w:r>
              <w:t xml:space="preserve">Academic Clinical Lecturer / General &amp; HPB Surgery </w:t>
            </w:r>
            <w:proofErr w:type="spellStart"/>
            <w:r>
              <w:t>SpR</w:t>
            </w:r>
            <w:proofErr w:type="spellEnd"/>
          </w:p>
          <w:p w14:paraId="2247E4F7" w14:textId="77777777" w:rsidR="00C5674D" w:rsidRDefault="00981F40">
            <w:pPr>
              <w:spacing w:line="240" w:lineRule="auto"/>
              <w:ind w:hanging="6"/>
            </w:pPr>
            <w:r>
              <w:t>University of Birmingham / University Hospitals Birmingham</w:t>
            </w:r>
          </w:p>
        </w:tc>
      </w:tr>
      <w:tr w:rsidR="00C5674D" w14:paraId="6632A174" w14:textId="77777777">
        <w:trPr>
          <w:trHeight w:val="20"/>
        </w:trPr>
        <w:tc>
          <w:tcPr>
            <w:tcW w:w="2268" w:type="dxa"/>
            <w:shd w:val="clear" w:color="auto" w:fill="auto"/>
          </w:tcPr>
          <w:p w14:paraId="77565EF3" w14:textId="77777777" w:rsidR="00C5674D" w:rsidRDefault="00981F40">
            <w:pPr>
              <w:shd w:val="clear" w:color="auto" w:fill="FFFFFF" w:themeFill="background1"/>
              <w:spacing w:before="200"/>
              <w:contextualSpacing/>
            </w:pPr>
            <w:r>
              <w:t>Lewis Hall</w:t>
            </w:r>
          </w:p>
        </w:tc>
        <w:tc>
          <w:tcPr>
            <w:tcW w:w="6378" w:type="dxa"/>
          </w:tcPr>
          <w:p w14:paraId="47857DF9" w14:textId="77777777" w:rsidR="00C5674D" w:rsidRDefault="00981F40">
            <w:pPr>
              <w:shd w:val="clear" w:color="auto" w:fill="FFFFFF" w:themeFill="background1"/>
              <w:spacing w:before="200"/>
              <w:contextualSpacing/>
            </w:pPr>
            <w:r>
              <w:t>Medical Student</w:t>
            </w:r>
          </w:p>
          <w:p w14:paraId="673E904C" w14:textId="77777777" w:rsidR="00C5674D" w:rsidRDefault="00981F40">
            <w:pPr>
              <w:shd w:val="clear" w:color="auto" w:fill="FFFFFF" w:themeFill="background1"/>
              <w:spacing w:before="200"/>
              <w:ind w:hanging="6"/>
              <w:contextualSpacing/>
            </w:pPr>
            <w:r>
              <w:t>University of Birmingham</w:t>
            </w:r>
          </w:p>
        </w:tc>
      </w:tr>
      <w:tr w:rsidR="00C5674D" w14:paraId="0023AE1C" w14:textId="77777777">
        <w:trPr>
          <w:trHeight w:val="20"/>
        </w:trPr>
        <w:tc>
          <w:tcPr>
            <w:tcW w:w="2268" w:type="dxa"/>
            <w:shd w:val="clear" w:color="auto" w:fill="auto"/>
          </w:tcPr>
          <w:p w14:paraId="3F68C3EB" w14:textId="77777777" w:rsidR="00C5674D" w:rsidRDefault="00981F40">
            <w:pPr>
              <w:shd w:val="clear" w:color="auto" w:fill="FFFFFF" w:themeFill="background1"/>
              <w:spacing w:before="200"/>
              <w:contextualSpacing/>
            </w:pPr>
            <w:r>
              <w:t>James Halle-Smith</w:t>
            </w:r>
          </w:p>
        </w:tc>
        <w:tc>
          <w:tcPr>
            <w:tcW w:w="6378" w:type="dxa"/>
          </w:tcPr>
          <w:p w14:paraId="3130F3FA" w14:textId="2EA729FA" w:rsidR="00C5674D" w:rsidRDefault="00464CC2">
            <w:pPr>
              <w:shd w:val="clear" w:color="auto" w:fill="FFFFFF" w:themeFill="background1"/>
              <w:spacing w:before="200"/>
              <w:ind w:hanging="6"/>
              <w:contextualSpacing/>
            </w:pPr>
            <w:r>
              <w:t>Surgical Senior House Officer</w:t>
            </w:r>
          </w:p>
          <w:p w14:paraId="3E0C7CFC" w14:textId="77777777" w:rsidR="00C5674D" w:rsidRDefault="00981F40">
            <w:pPr>
              <w:shd w:val="clear" w:color="auto" w:fill="FFFFFF" w:themeFill="background1"/>
              <w:spacing w:before="200"/>
              <w:ind w:hanging="6"/>
              <w:contextualSpacing/>
            </w:pPr>
            <w:r>
              <w:t>West Midlands Deanery</w:t>
            </w:r>
          </w:p>
        </w:tc>
      </w:tr>
      <w:tr w:rsidR="00464CC2" w14:paraId="0422785F" w14:textId="77777777">
        <w:trPr>
          <w:trHeight w:val="20"/>
        </w:trPr>
        <w:tc>
          <w:tcPr>
            <w:tcW w:w="2268" w:type="dxa"/>
            <w:shd w:val="clear" w:color="auto" w:fill="auto"/>
          </w:tcPr>
          <w:p w14:paraId="15B816C0" w14:textId="7491C391" w:rsidR="00464CC2" w:rsidRPr="00464CC2" w:rsidRDefault="00464CC2" w:rsidP="00464CC2">
            <w:pPr>
              <w:shd w:val="clear" w:color="auto" w:fill="FFFFFF" w:themeFill="background1"/>
              <w:spacing w:before="200"/>
              <w:contextualSpacing/>
            </w:pPr>
            <w:r w:rsidRPr="00464CC2">
              <w:t>Daniel-Clement Osei-</w:t>
            </w:r>
            <w:proofErr w:type="spellStart"/>
            <w:r w:rsidRPr="00464CC2">
              <w:t>Bordom</w:t>
            </w:r>
            <w:proofErr w:type="spellEnd"/>
          </w:p>
        </w:tc>
        <w:tc>
          <w:tcPr>
            <w:tcW w:w="6378" w:type="dxa"/>
          </w:tcPr>
          <w:p w14:paraId="22DC570A" w14:textId="77777777" w:rsidR="00464CC2" w:rsidRPr="00464CC2" w:rsidRDefault="00464CC2" w:rsidP="00464CC2">
            <w:pPr>
              <w:shd w:val="clear" w:color="auto" w:fill="FFFFFF" w:themeFill="background1"/>
              <w:spacing w:before="200"/>
              <w:ind w:hanging="6"/>
              <w:contextualSpacing/>
            </w:pPr>
            <w:r w:rsidRPr="00464CC2">
              <w:t>NIHR Academic Clinical Fellow in General Surgery </w:t>
            </w:r>
          </w:p>
          <w:p w14:paraId="524D8CE1" w14:textId="7A108B8C" w:rsidR="00464CC2" w:rsidRPr="00464CC2" w:rsidRDefault="00464CC2" w:rsidP="00464CC2">
            <w:pPr>
              <w:shd w:val="clear" w:color="auto" w:fill="FFFFFF" w:themeFill="background1"/>
              <w:spacing w:before="200"/>
              <w:ind w:hanging="6"/>
              <w:contextualSpacing/>
              <w:rPr>
                <w:color w:val="555555"/>
                <w:sz w:val="21"/>
                <w:szCs w:val="21"/>
              </w:rPr>
            </w:pPr>
            <w:r w:rsidRPr="00464CC2">
              <w:t>University of Birmingham/ University Hospitals Birmingham</w:t>
            </w:r>
          </w:p>
        </w:tc>
      </w:tr>
      <w:tr w:rsidR="00C5674D" w14:paraId="603554F0" w14:textId="77777777">
        <w:trPr>
          <w:trHeight w:val="20"/>
        </w:trPr>
        <w:tc>
          <w:tcPr>
            <w:tcW w:w="2268" w:type="dxa"/>
            <w:shd w:val="clear" w:color="auto" w:fill="auto"/>
          </w:tcPr>
          <w:p w14:paraId="73DB247C" w14:textId="77777777" w:rsidR="00C5674D" w:rsidRDefault="00981F40">
            <w:pPr>
              <w:shd w:val="clear" w:color="auto" w:fill="FFFFFF" w:themeFill="background1"/>
              <w:spacing w:before="200"/>
              <w:contextualSpacing/>
            </w:pPr>
            <w:r>
              <w:t>Joshua Soane</w:t>
            </w:r>
          </w:p>
        </w:tc>
        <w:tc>
          <w:tcPr>
            <w:tcW w:w="6378" w:type="dxa"/>
            <w:shd w:val="clear" w:color="auto" w:fill="auto"/>
            <w:tcMar>
              <w:top w:w="0" w:type="auto"/>
              <w:left w:w="84" w:type="dxa"/>
              <w:bottom w:w="0" w:type="auto"/>
              <w:right w:w="0" w:type="auto"/>
            </w:tcMar>
          </w:tcPr>
          <w:p w14:paraId="3913B1B8" w14:textId="77777777" w:rsidR="00C5674D" w:rsidRDefault="00981F40">
            <w:pPr>
              <w:shd w:val="clear" w:color="auto" w:fill="FFFFFF" w:themeFill="background1"/>
              <w:spacing w:before="200"/>
              <w:ind w:firstLine="54"/>
              <w:contextualSpacing/>
            </w:pPr>
            <w:r>
              <w:t>MDT Coordinator</w:t>
            </w:r>
          </w:p>
          <w:p w14:paraId="4395ADB2" w14:textId="77777777" w:rsidR="00C5674D" w:rsidRDefault="00981F40">
            <w:pPr>
              <w:shd w:val="clear" w:color="auto" w:fill="FFFFFF" w:themeFill="background1"/>
              <w:spacing w:before="200"/>
              <w:ind w:firstLine="54"/>
              <w:contextualSpacing/>
            </w:pPr>
            <w:proofErr w:type="spellStart"/>
            <w:r>
              <w:t>Southend</w:t>
            </w:r>
            <w:proofErr w:type="spellEnd"/>
            <w:r>
              <w:t xml:space="preserve"> Hospital</w:t>
            </w:r>
          </w:p>
        </w:tc>
      </w:tr>
      <w:tr w:rsidR="00C5674D" w14:paraId="475D8EFC" w14:textId="77777777">
        <w:trPr>
          <w:trHeight w:val="20"/>
        </w:trPr>
        <w:tc>
          <w:tcPr>
            <w:tcW w:w="2268" w:type="dxa"/>
            <w:shd w:val="clear" w:color="auto" w:fill="auto"/>
          </w:tcPr>
          <w:p w14:paraId="79085BC4" w14:textId="77777777" w:rsidR="00C5674D" w:rsidRDefault="00981F40">
            <w:pPr>
              <w:shd w:val="clear" w:color="auto" w:fill="FFFFFF" w:themeFill="background1"/>
              <w:spacing w:before="200"/>
              <w:contextualSpacing/>
            </w:pPr>
            <w:r>
              <w:t>Lesley Goodburn</w:t>
            </w:r>
          </w:p>
        </w:tc>
        <w:tc>
          <w:tcPr>
            <w:tcW w:w="6378" w:type="dxa"/>
            <w:shd w:val="clear" w:color="auto" w:fill="auto"/>
            <w:tcMar>
              <w:top w:w="0" w:type="auto"/>
              <w:left w:w="84" w:type="dxa"/>
              <w:bottom w:w="0" w:type="auto"/>
              <w:right w:w="0" w:type="auto"/>
            </w:tcMar>
          </w:tcPr>
          <w:p w14:paraId="50B57393" w14:textId="77777777" w:rsidR="00C5674D" w:rsidRDefault="00981F40">
            <w:pPr>
              <w:shd w:val="clear" w:color="auto" w:fill="FFFFFF" w:themeFill="background1"/>
              <w:spacing w:before="200"/>
              <w:ind w:firstLine="54"/>
              <w:contextualSpacing/>
              <w:rPr>
                <w:color w:val="000000"/>
              </w:rPr>
            </w:pPr>
            <w:r>
              <w:rPr>
                <w:color w:val="000000"/>
              </w:rPr>
              <w:t>A person with lived experience of pancreatic cancer</w:t>
            </w:r>
          </w:p>
          <w:p w14:paraId="5C1FB487" w14:textId="77777777" w:rsidR="00C5674D" w:rsidRDefault="00C5674D">
            <w:pPr>
              <w:shd w:val="clear" w:color="auto" w:fill="FFFFFF" w:themeFill="background1"/>
              <w:spacing w:before="200"/>
              <w:ind w:firstLine="54"/>
              <w:contextualSpacing/>
            </w:pPr>
          </w:p>
        </w:tc>
      </w:tr>
      <w:tr w:rsidR="00C5674D" w14:paraId="5FDF1B0F" w14:textId="77777777">
        <w:trPr>
          <w:trHeight w:val="20"/>
        </w:trPr>
        <w:tc>
          <w:tcPr>
            <w:tcW w:w="2268" w:type="dxa"/>
            <w:shd w:val="clear" w:color="auto" w:fill="auto"/>
          </w:tcPr>
          <w:p w14:paraId="6B43419F" w14:textId="77777777" w:rsidR="00C5674D" w:rsidRDefault="00981F40">
            <w:pPr>
              <w:shd w:val="clear" w:color="auto" w:fill="FFFFFF" w:themeFill="background1"/>
              <w:spacing w:before="200"/>
              <w:contextualSpacing/>
            </w:pPr>
            <w:r>
              <w:rPr>
                <w:lang w:val="en-US"/>
              </w:rPr>
              <w:t>Ganesh Radhakrishna</w:t>
            </w:r>
          </w:p>
        </w:tc>
        <w:tc>
          <w:tcPr>
            <w:tcW w:w="6378" w:type="dxa"/>
            <w:shd w:val="clear" w:color="auto" w:fill="auto"/>
            <w:tcMar>
              <w:top w:w="0" w:type="auto"/>
              <w:left w:w="84" w:type="dxa"/>
              <w:bottom w:w="0" w:type="auto"/>
              <w:right w:w="0" w:type="auto"/>
            </w:tcMar>
          </w:tcPr>
          <w:p w14:paraId="0E395611" w14:textId="77777777" w:rsidR="00C5674D" w:rsidRDefault="00981F40">
            <w:pPr>
              <w:shd w:val="clear" w:color="auto" w:fill="FFFFFF" w:themeFill="background1"/>
              <w:spacing w:before="200"/>
              <w:ind w:firstLine="54"/>
              <w:contextualSpacing/>
            </w:pPr>
            <w:r>
              <w:t>Consultant Clinical Oncologist</w:t>
            </w:r>
          </w:p>
          <w:p w14:paraId="48A793D5" w14:textId="77777777" w:rsidR="00C5674D" w:rsidRDefault="00981F40">
            <w:pPr>
              <w:shd w:val="clear" w:color="auto" w:fill="FFFFFF" w:themeFill="background1"/>
              <w:spacing w:before="200"/>
              <w:ind w:firstLine="54"/>
              <w:contextualSpacing/>
              <w:rPr>
                <w:rFonts w:ascii="Calibri" w:hAnsi="Calibri" w:cs="Calibri"/>
                <w:color w:val="000000"/>
              </w:rPr>
            </w:pPr>
            <w:r>
              <w:t>The Christie NHS Foundation Trust</w:t>
            </w:r>
          </w:p>
        </w:tc>
      </w:tr>
      <w:tr w:rsidR="00C5674D" w14:paraId="257148EB" w14:textId="77777777">
        <w:trPr>
          <w:trHeight w:val="20"/>
        </w:trPr>
        <w:tc>
          <w:tcPr>
            <w:tcW w:w="2268" w:type="dxa"/>
            <w:shd w:val="clear" w:color="auto" w:fill="auto"/>
          </w:tcPr>
          <w:p w14:paraId="0D1DEFA2" w14:textId="77777777" w:rsidR="00C5674D" w:rsidRDefault="00981F40">
            <w:pPr>
              <w:shd w:val="clear" w:color="auto" w:fill="FFFFFF" w:themeFill="background1"/>
              <w:spacing w:before="200"/>
              <w:contextualSpacing/>
              <w:rPr>
                <w:lang w:val="en-US"/>
              </w:rPr>
            </w:pPr>
            <w:r>
              <w:rPr>
                <w:lang w:val="en-US"/>
              </w:rPr>
              <w:t>Juan Valle</w:t>
            </w:r>
          </w:p>
        </w:tc>
        <w:tc>
          <w:tcPr>
            <w:tcW w:w="6378" w:type="dxa"/>
            <w:shd w:val="clear" w:color="auto" w:fill="auto"/>
            <w:tcMar>
              <w:top w:w="0" w:type="auto"/>
              <w:left w:w="84" w:type="dxa"/>
              <w:bottom w:w="0" w:type="auto"/>
              <w:right w:w="0" w:type="auto"/>
            </w:tcMar>
          </w:tcPr>
          <w:p w14:paraId="507EE3E1" w14:textId="77777777" w:rsidR="00C5674D" w:rsidRDefault="00981F40">
            <w:pPr>
              <w:shd w:val="clear" w:color="auto" w:fill="FFFFFF" w:themeFill="background1"/>
              <w:spacing w:before="200"/>
              <w:ind w:left="140" w:hanging="86"/>
              <w:contextualSpacing/>
            </w:pPr>
            <w:r>
              <w:t xml:space="preserve">Professor in Medical Oncology </w:t>
            </w:r>
          </w:p>
          <w:p w14:paraId="2EF91A43" w14:textId="77777777" w:rsidR="00C5674D" w:rsidRDefault="00981F40">
            <w:pPr>
              <w:shd w:val="clear" w:color="auto" w:fill="FFFFFF" w:themeFill="background1"/>
              <w:spacing w:before="200"/>
              <w:ind w:left="140" w:hanging="86"/>
              <w:contextualSpacing/>
            </w:pPr>
            <w:r>
              <w:t>The Christie NHS Foundation Trust/ University of Manchester</w:t>
            </w:r>
          </w:p>
        </w:tc>
      </w:tr>
      <w:tr w:rsidR="00C5674D" w14:paraId="04DE669D" w14:textId="77777777">
        <w:trPr>
          <w:trHeight w:val="20"/>
        </w:trPr>
        <w:tc>
          <w:tcPr>
            <w:tcW w:w="2268" w:type="dxa"/>
            <w:shd w:val="clear" w:color="auto" w:fill="auto"/>
          </w:tcPr>
          <w:p w14:paraId="06072B47" w14:textId="77777777" w:rsidR="00C5674D" w:rsidRDefault="00981F40">
            <w:pPr>
              <w:shd w:val="clear" w:color="auto" w:fill="FFFFFF" w:themeFill="background1"/>
              <w:spacing w:before="200"/>
              <w:contextualSpacing/>
            </w:pPr>
            <w:r>
              <w:t>Pippa Corrie</w:t>
            </w:r>
          </w:p>
        </w:tc>
        <w:tc>
          <w:tcPr>
            <w:tcW w:w="6378" w:type="dxa"/>
            <w:shd w:val="clear" w:color="auto" w:fill="auto"/>
            <w:tcMar>
              <w:top w:w="0" w:type="auto"/>
              <w:left w:w="84" w:type="dxa"/>
              <w:bottom w:w="0" w:type="auto"/>
              <w:right w:w="0" w:type="auto"/>
            </w:tcMar>
          </w:tcPr>
          <w:p w14:paraId="5C13F658" w14:textId="77777777" w:rsidR="00C5674D" w:rsidRDefault="00981F40">
            <w:pPr>
              <w:shd w:val="clear" w:color="auto" w:fill="FFFFFF" w:themeFill="background1"/>
              <w:spacing w:before="200"/>
              <w:ind w:left="49" w:firstLine="5"/>
              <w:contextualSpacing/>
              <w:rPr>
                <w:color w:val="5B5B5B"/>
                <w:spacing w:val="3"/>
                <w:sz w:val="23"/>
                <w:szCs w:val="23"/>
              </w:rPr>
            </w:pPr>
            <w:r>
              <w:t>Consultant in Medical Oncology / Associate Lecturer Addenbrooke’s Hospital Cambridge / University of Cambridge</w:t>
            </w:r>
          </w:p>
        </w:tc>
      </w:tr>
      <w:tr w:rsidR="00C5674D" w14:paraId="3E76F766" w14:textId="77777777">
        <w:trPr>
          <w:trHeight w:val="20"/>
        </w:trPr>
        <w:tc>
          <w:tcPr>
            <w:tcW w:w="2268" w:type="dxa"/>
            <w:shd w:val="clear" w:color="auto" w:fill="auto"/>
          </w:tcPr>
          <w:p w14:paraId="631343F0" w14:textId="77777777" w:rsidR="00C5674D" w:rsidRDefault="00981F40">
            <w:pPr>
              <w:shd w:val="clear" w:color="auto" w:fill="FFFFFF" w:themeFill="background1"/>
              <w:spacing w:before="200"/>
              <w:contextualSpacing/>
              <w:rPr>
                <w:lang w:val="en-US"/>
              </w:rPr>
            </w:pPr>
            <w:r>
              <w:rPr>
                <w:lang w:val="en-US"/>
              </w:rPr>
              <w:t>Laura Magill</w:t>
            </w:r>
          </w:p>
        </w:tc>
        <w:tc>
          <w:tcPr>
            <w:tcW w:w="6378" w:type="dxa"/>
            <w:shd w:val="clear" w:color="auto" w:fill="auto"/>
            <w:tcMar>
              <w:top w:w="0" w:type="auto"/>
              <w:left w:w="84" w:type="dxa"/>
              <w:bottom w:w="0" w:type="auto"/>
              <w:right w:w="0" w:type="auto"/>
            </w:tcMar>
            <w:vAlign w:val="center"/>
          </w:tcPr>
          <w:p w14:paraId="75224326" w14:textId="1BC3320C" w:rsidR="00C5674D" w:rsidRDefault="00BE24AE">
            <w:pPr>
              <w:shd w:val="clear" w:color="auto" w:fill="FFFFFF" w:themeFill="background1"/>
              <w:spacing w:before="200"/>
              <w:ind w:left="140" w:hanging="86"/>
              <w:contextualSpacing/>
            </w:pPr>
            <w:r>
              <w:t>Senior Lecturer</w:t>
            </w:r>
            <w:r w:rsidR="000F1256">
              <w:t xml:space="preserve"> in Clinical Trials</w:t>
            </w:r>
            <w:r w:rsidR="00981F40">
              <w:t>, Birmingham Surgical Trials Consortium, University of Birmingham</w:t>
            </w:r>
          </w:p>
        </w:tc>
      </w:tr>
      <w:tr w:rsidR="00C5674D" w14:paraId="0B225924" w14:textId="77777777">
        <w:trPr>
          <w:trHeight w:val="20"/>
        </w:trPr>
        <w:tc>
          <w:tcPr>
            <w:tcW w:w="2268" w:type="dxa"/>
            <w:shd w:val="clear" w:color="auto" w:fill="auto"/>
          </w:tcPr>
          <w:p w14:paraId="74FDE1C9" w14:textId="77777777" w:rsidR="00C5674D" w:rsidRDefault="00981F40">
            <w:pPr>
              <w:shd w:val="clear" w:color="auto" w:fill="FFFFFF" w:themeFill="background1"/>
              <w:spacing w:before="200"/>
              <w:contextualSpacing/>
              <w:rPr>
                <w:lang w:val="en-US"/>
              </w:rPr>
            </w:pPr>
            <w:r>
              <w:rPr>
                <w:lang w:val="en-US"/>
              </w:rPr>
              <w:t>Thomas Pinkney</w:t>
            </w:r>
          </w:p>
        </w:tc>
        <w:tc>
          <w:tcPr>
            <w:tcW w:w="6378" w:type="dxa"/>
            <w:shd w:val="clear" w:color="auto" w:fill="auto"/>
            <w:tcMar>
              <w:top w:w="0" w:type="auto"/>
              <w:left w:w="84" w:type="dxa"/>
              <w:bottom w:w="0" w:type="auto"/>
              <w:right w:w="0" w:type="auto"/>
            </w:tcMar>
            <w:vAlign w:val="center"/>
          </w:tcPr>
          <w:p w14:paraId="4ACBE523" w14:textId="77777777" w:rsidR="00C5674D" w:rsidRDefault="00981F40">
            <w:pPr>
              <w:shd w:val="clear" w:color="auto" w:fill="FFFFFF" w:themeFill="background1"/>
              <w:spacing w:before="200"/>
              <w:ind w:left="140" w:hanging="86"/>
              <w:contextualSpacing/>
            </w:pPr>
            <w:r>
              <w:t>George Drexler &amp; Royal College of Surgeons Chair of Surgical Trials, University of Birmingham</w:t>
            </w:r>
          </w:p>
        </w:tc>
      </w:tr>
      <w:tr w:rsidR="00C5674D" w14:paraId="2E597A61" w14:textId="77777777">
        <w:trPr>
          <w:trHeight w:val="20"/>
        </w:trPr>
        <w:tc>
          <w:tcPr>
            <w:tcW w:w="2268" w:type="dxa"/>
            <w:shd w:val="clear" w:color="auto" w:fill="auto"/>
          </w:tcPr>
          <w:p w14:paraId="3FC2835C" w14:textId="77777777" w:rsidR="00C5674D" w:rsidRDefault="00981F40">
            <w:pPr>
              <w:shd w:val="clear" w:color="auto" w:fill="FFFFFF" w:themeFill="background1"/>
              <w:spacing w:before="200"/>
              <w:contextualSpacing/>
            </w:pPr>
            <w:r>
              <w:t>Keith Roberts</w:t>
            </w:r>
          </w:p>
        </w:tc>
        <w:tc>
          <w:tcPr>
            <w:tcW w:w="6378" w:type="dxa"/>
            <w:shd w:val="clear" w:color="auto" w:fill="auto"/>
            <w:tcMar>
              <w:top w:w="0" w:type="auto"/>
              <w:left w:w="84" w:type="dxa"/>
              <w:bottom w:w="0" w:type="auto"/>
              <w:right w:w="0" w:type="auto"/>
            </w:tcMar>
          </w:tcPr>
          <w:p w14:paraId="24362CA0" w14:textId="77777777" w:rsidR="00C5674D" w:rsidRDefault="00981F40">
            <w:pPr>
              <w:shd w:val="clear" w:color="auto" w:fill="FFFFFF" w:themeFill="background1"/>
              <w:spacing w:before="200"/>
              <w:ind w:left="140" w:hanging="86"/>
              <w:contextualSpacing/>
            </w:pPr>
            <w:r>
              <w:t>HPB &amp; Transplant Surgery Consultant / Honorary Reader</w:t>
            </w:r>
          </w:p>
          <w:p w14:paraId="4D5AC58C" w14:textId="77777777" w:rsidR="00C5674D" w:rsidRDefault="00981F40">
            <w:pPr>
              <w:shd w:val="clear" w:color="auto" w:fill="FFFFFF" w:themeFill="background1"/>
              <w:spacing w:before="200"/>
              <w:ind w:left="140" w:hanging="86"/>
              <w:contextualSpacing/>
            </w:pPr>
            <w:r>
              <w:t>University Hospitals Birmingham / University of Birmingham</w:t>
            </w:r>
          </w:p>
        </w:tc>
      </w:tr>
    </w:tbl>
    <w:p w14:paraId="39B8B202" w14:textId="77777777" w:rsidR="00C5674D" w:rsidRDefault="00C5674D">
      <w:pPr>
        <w:rPr>
          <w:rFonts w:eastAsia="Calibri"/>
          <w:color w:val="4A4A4A"/>
        </w:rPr>
      </w:pPr>
    </w:p>
    <w:p w14:paraId="7D91B73D" w14:textId="77777777" w:rsidR="00C5674D" w:rsidRDefault="00C5674D">
      <w:pPr>
        <w:rPr>
          <w:rFonts w:ascii="Calibri" w:eastAsia="Calibri" w:hAnsi="Calibri" w:cs="Calibri"/>
          <w:color w:val="4A4A4A"/>
          <w:sz w:val="24"/>
          <w:szCs w:val="24"/>
        </w:rPr>
      </w:pPr>
    </w:p>
    <w:p w14:paraId="5A2F880F" w14:textId="77777777" w:rsidR="00C5674D" w:rsidRDefault="00C5674D">
      <w:pPr>
        <w:rPr>
          <w:rFonts w:ascii="Calibri" w:eastAsia="Calibri" w:hAnsi="Calibri" w:cs="Calibri"/>
          <w:color w:val="4A4A4A"/>
          <w:sz w:val="24"/>
          <w:szCs w:val="24"/>
        </w:rPr>
      </w:pPr>
    </w:p>
    <w:p w14:paraId="6C838CAD" w14:textId="77777777" w:rsidR="00C5674D" w:rsidRDefault="00C5674D">
      <w:pPr>
        <w:rPr>
          <w:rFonts w:ascii="Calibri" w:eastAsia="Calibri" w:hAnsi="Calibri" w:cs="Calibri"/>
          <w:color w:val="4A4A4A"/>
          <w:sz w:val="24"/>
          <w:szCs w:val="24"/>
        </w:rPr>
      </w:pPr>
    </w:p>
    <w:p w14:paraId="0DB8B1E7" w14:textId="77777777" w:rsidR="00C5674D" w:rsidRDefault="00981F40">
      <w:pPr>
        <w:rPr>
          <w:sz w:val="24"/>
          <w:szCs w:val="24"/>
        </w:rPr>
      </w:pPr>
      <w:r>
        <w:rPr>
          <w:sz w:val="24"/>
          <w:szCs w:val="24"/>
        </w:rPr>
        <w:br w:type="page"/>
      </w:r>
    </w:p>
    <w:p w14:paraId="018D9183" w14:textId="77777777" w:rsidR="00C5674D" w:rsidRDefault="00981F40">
      <w:pPr>
        <w:pStyle w:val="Heading1"/>
        <w:spacing w:before="0"/>
        <w:rPr>
          <w:rFonts w:ascii="Calibri" w:eastAsia="Calibri" w:hAnsi="Calibri" w:cs="Calibri"/>
          <w:color w:val="008080"/>
          <w:u w:val="single"/>
        </w:rPr>
      </w:pPr>
      <w:bookmarkStart w:id="22" w:name="_Toc57205853"/>
      <w:r>
        <w:rPr>
          <w:sz w:val="24"/>
          <w:szCs w:val="24"/>
        </w:rPr>
        <w:lastRenderedPageBreak/>
        <w:t>Appendix 1 – Demographics and Diagnosis Case Report Form (CRF)</w:t>
      </w:r>
      <w:bookmarkEnd w:id="22"/>
      <w:r>
        <w:rPr>
          <w:rFonts w:ascii="Calibri" w:eastAsia="Calibri" w:hAnsi="Calibri" w:cs="Calibri"/>
        </w:rPr>
        <w:t xml:space="preserve"> </w:t>
      </w:r>
    </w:p>
    <w:p w14:paraId="2B0255FC" w14:textId="68E53448" w:rsidR="00C5674D" w:rsidRDefault="006D686A">
      <w:pPr>
        <w:rPr>
          <w:rFonts w:ascii="Calibri" w:eastAsia="Calibri" w:hAnsi="Calibri" w:cs="Calibri"/>
          <w:color w:val="008080"/>
          <w:sz w:val="24"/>
          <w:szCs w:val="24"/>
          <w:u w:val="single"/>
        </w:rPr>
      </w:pPr>
      <w:r w:rsidRPr="006D686A">
        <w:rPr>
          <w:rFonts w:ascii="Calibri" w:eastAsia="Calibri" w:hAnsi="Calibri" w:cs="Calibri"/>
          <w:color w:val="008080"/>
          <w:sz w:val="24"/>
          <w:szCs w:val="24"/>
          <w:u w:val="single"/>
        </w:rPr>
        <w:drawing>
          <wp:inline distT="0" distB="0" distL="0" distR="0" wp14:anchorId="3C1396FB" wp14:editId="1D0630AF">
            <wp:extent cx="5943600" cy="78346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834630"/>
                    </a:xfrm>
                    <a:prstGeom prst="rect">
                      <a:avLst/>
                    </a:prstGeom>
                  </pic:spPr>
                </pic:pic>
              </a:graphicData>
            </a:graphic>
          </wp:inline>
        </w:drawing>
      </w:r>
    </w:p>
    <w:p w14:paraId="13A96434" w14:textId="1F78B9C1" w:rsidR="00C5674D" w:rsidRDefault="006D686A">
      <w:pPr>
        <w:rPr>
          <w:rFonts w:ascii="Calibri" w:eastAsia="Calibri" w:hAnsi="Calibri" w:cs="Calibri"/>
          <w:color w:val="008080"/>
          <w:sz w:val="24"/>
          <w:szCs w:val="24"/>
          <w:u w:val="single"/>
        </w:rPr>
      </w:pPr>
      <w:r>
        <w:rPr>
          <w:rFonts w:ascii="Calibri" w:eastAsia="Calibri" w:hAnsi="Calibri" w:cs="Calibri"/>
          <w:noProof/>
          <w:color w:val="008080"/>
          <w:sz w:val="24"/>
          <w:szCs w:val="24"/>
          <w:u w:val="single"/>
        </w:rPr>
        <w:lastRenderedPageBreak/>
        <w:drawing>
          <wp:inline distT="0" distB="0" distL="0" distR="0" wp14:anchorId="757AF362" wp14:editId="2FA5FDC2">
            <wp:extent cx="5815330" cy="822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6475CAD6" w14:textId="58F0D1D7" w:rsidR="00C5674D" w:rsidRDefault="006D686A">
      <w:pPr>
        <w:rPr>
          <w:rFonts w:ascii="Calibri" w:eastAsia="Calibri" w:hAnsi="Calibri" w:cs="Calibri"/>
          <w:color w:val="008080"/>
          <w:sz w:val="24"/>
          <w:szCs w:val="24"/>
          <w:u w:val="single"/>
        </w:rPr>
      </w:pPr>
      <w:r>
        <w:rPr>
          <w:rFonts w:ascii="Calibri" w:eastAsia="Calibri" w:hAnsi="Calibri" w:cs="Calibri"/>
          <w:noProof/>
          <w:color w:val="008080"/>
          <w:sz w:val="24"/>
          <w:szCs w:val="24"/>
          <w:u w:val="single"/>
        </w:rPr>
        <w:lastRenderedPageBreak/>
        <w:drawing>
          <wp:inline distT="0" distB="0" distL="0" distR="0" wp14:anchorId="29AF1919" wp14:editId="56449D17">
            <wp:extent cx="5815330" cy="822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981F40">
        <w:rPr>
          <w:rFonts w:ascii="Calibri" w:eastAsia="Calibri" w:hAnsi="Calibri" w:cs="Calibri"/>
          <w:color w:val="008080"/>
          <w:sz w:val="24"/>
          <w:szCs w:val="24"/>
          <w:u w:val="single"/>
        </w:rPr>
        <w:br w:type="page"/>
      </w:r>
    </w:p>
    <w:p w14:paraId="18D6DB20" w14:textId="5B175E29" w:rsidR="00C5674D" w:rsidRDefault="00981F40">
      <w:pPr>
        <w:rPr>
          <w:rFonts w:ascii="Calibri" w:eastAsia="Calibri" w:hAnsi="Calibri" w:cs="Calibri"/>
          <w:color w:val="008080"/>
          <w:sz w:val="24"/>
          <w:szCs w:val="24"/>
          <w:u w:val="single"/>
        </w:rPr>
      </w:pPr>
      <w:r>
        <w:rPr>
          <w:sz w:val="24"/>
          <w:szCs w:val="24"/>
        </w:rPr>
        <w:lastRenderedPageBreak/>
        <w:t>Appendix 2 – 6 month follow-up Case Report Form (CRF</w:t>
      </w:r>
      <w:r w:rsidRPr="006D686A">
        <w:rPr>
          <w:sz w:val="24"/>
          <w:szCs w:val="24"/>
        </w:rPr>
        <w:t>)</w:t>
      </w:r>
      <w:r w:rsidRPr="006D686A">
        <w:rPr>
          <w:rFonts w:ascii="Calibri" w:eastAsia="Calibri" w:hAnsi="Calibri" w:cs="Calibri"/>
          <w:sz w:val="24"/>
          <w:szCs w:val="24"/>
        </w:rPr>
        <w:t xml:space="preserve"> </w:t>
      </w:r>
      <w:r w:rsidR="006D686A" w:rsidRPr="006D686A">
        <w:rPr>
          <w:rFonts w:ascii="Calibri" w:eastAsia="Calibri" w:hAnsi="Calibri" w:cs="Calibri"/>
          <w:sz w:val="24"/>
          <w:szCs w:val="24"/>
        </w:rPr>
        <w:t>(questions for 6 and 12 months are very similar).  Text ‘piping’ is used on the forms to added relevant dates</w:t>
      </w:r>
      <w:r w:rsidR="006D686A" w:rsidRPr="006D686A">
        <w:rPr>
          <w:rFonts w:ascii="Calibri" w:eastAsia="Calibri" w:hAnsi="Calibri" w:cs="Calibri"/>
          <w:color w:val="008080"/>
          <w:sz w:val="24"/>
          <w:szCs w:val="24"/>
          <w:u w:val="single"/>
        </w:rPr>
        <w:drawing>
          <wp:inline distT="0" distB="0" distL="0" distR="0" wp14:anchorId="0FA3BB1A" wp14:editId="597E3DD8">
            <wp:extent cx="5814913" cy="68439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16831"/>
                    <a:stretch/>
                  </pic:blipFill>
                  <pic:spPr bwMode="auto">
                    <a:xfrm>
                      <a:off x="0" y="0"/>
                      <a:ext cx="5814913" cy="6843932"/>
                    </a:xfrm>
                    <a:prstGeom prst="rect">
                      <a:avLst/>
                    </a:prstGeom>
                    <a:ln>
                      <a:noFill/>
                    </a:ln>
                    <a:extLst>
                      <a:ext uri="{53640926-AAD7-44D8-BBD7-CCE9431645EC}">
                        <a14:shadowObscured xmlns:a14="http://schemas.microsoft.com/office/drawing/2010/main"/>
                      </a:ext>
                    </a:extLst>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5A963225" wp14:editId="5CD27C81">
            <wp:extent cx="5815330" cy="8229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641EEDAF" wp14:editId="4FEE5B68">
            <wp:extent cx="5815330" cy="822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71DC801B" wp14:editId="4C45D4E4">
            <wp:extent cx="5815330" cy="822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77D0B3BA" wp14:editId="326C0EFF">
            <wp:extent cx="5815330" cy="822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7C35EE41" wp14:editId="6F64ABA1">
            <wp:extent cx="5815330" cy="822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25CC3550" wp14:editId="2E3A7F2E">
            <wp:extent cx="58153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5">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sidRPr="006D686A">
        <w:rPr>
          <w:rFonts w:ascii="Calibri" w:eastAsia="Calibri" w:hAnsi="Calibri" w:cs="Calibri"/>
          <w:color w:val="008080"/>
          <w:sz w:val="24"/>
          <w:szCs w:val="24"/>
          <w:u w:val="single"/>
        </w:rPr>
        <w:lastRenderedPageBreak/>
        <w:drawing>
          <wp:inline distT="0" distB="0" distL="0" distR="0" wp14:anchorId="2D0C98F8" wp14:editId="57553902">
            <wp:extent cx="5815330" cy="822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12EC562C" wp14:editId="2DCB2FC0">
            <wp:extent cx="5815330" cy="822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22B18779" wp14:editId="1A47553A">
            <wp:extent cx="5815330" cy="822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6062EDAF" wp14:editId="00966A86">
            <wp:extent cx="5815330" cy="822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r w:rsidR="006D686A">
        <w:rPr>
          <w:rFonts w:ascii="Calibri" w:eastAsia="Calibri" w:hAnsi="Calibri" w:cs="Calibri"/>
          <w:noProof/>
          <w:color w:val="008080"/>
          <w:sz w:val="24"/>
          <w:szCs w:val="24"/>
          <w:u w:val="single"/>
        </w:rPr>
        <w:lastRenderedPageBreak/>
        <w:drawing>
          <wp:inline distT="0" distB="0" distL="0" distR="0" wp14:anchorId="1AAA92C6" wp14:editId="30A161F9">
            <wp:extent cx="5815330" cy="822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0">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bookmarkStart w:id="23" w:name="_Toc57205854"/>
    <w:p w14:paraId="05A11DEA" w14:textId="77777777" w:rsidR="00C5674D" w:rsidRDefault="00981F40">
      <w:pPr>
        <w:pStyle w:val="Heading1"/>
        <w:rPr>
          <w:sz w:val="24"/>
          <w:szCs w:val="24"/>
        </w:rPr>
      </w:pPr>
      <w:r>
        <w:rPr>
          <w:noProof/>
          <w:sz w:val="24"/>
          <w:szCs w:val="24"/>
          <w:lang w:val="en-GB"/>
        </w:rPr>
        <w:lastRenderedPageBreak/>
        <mc:AlternateContent>
          <mc:Choice Requires="wpg">
            <w:drawing>
              <wp:anchor distT="0" distB="0" distL="114300" distR="114300" simplePos="0" relativeHeight="251658240" behindDoc="0" locked="0" layoutInCell="1" allowOverlap="1">
                <wp:simplePos x="0" y="0"/>
                <wp:positionH relativeFrom="column">
                  <wp:posOffset>33020</wp:posOffset>
                </wp:positionH>
                <wp:positionV relativeFrom="paragraph">
                  <wp:posOffset>531495</wp:posOffset>
                </wp:positionV>
                <wp:extent cx="4370705" cy="7265035"/>
                <wp:effectExtent l="0" t="0" r="0" b="0"/>
                <wp:wrapTopAndBottom/>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31"/>
                        <a:stretch/>
                      </pic:blipFill>
                      <pic:spPr bwMode="auto">
                        <a:xfrm>
                          <a:off x="0" y="0"/>
                          <a:ext cx="4370705" cy="726503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58240;o:allowoverlap:true;o:allowincell:true;mso-position-horizontal-relative:text;margin-left:2.6pt;mso-position-horizontal:absolute;mso-position-vertical-relative:text;margin-top:41.9pt;mso-position-vertical:absolute;width:344.1pt;height:572.0pt;">
                <v:path textboxrect="0,0,0,0"/>
                <v:imagedata r:id="rId55" o:title=""/>
              </v:shape>
            </w:pict>
          </mc:Fallback>
        </mc:AlternateContent>
      </w:r>
      <w:r>
        <w:rPr>
          <w:sz w:val="24"/>
          <w:szCs w:val="24"/>
        </w:rPr>
        <w:t>Appendix 3: MRC NHS REC Review tool: NHS REC review not required for sites in England</w:t>
      </w:r>
      <w:bookmarkEnd w:id="23"/>
      <w:r>
        <w:rPr>
          <w:sz w:val="24"/>
          <w:szCs w:val="24"/>
        </w:rPr>
        <w:t xml:space="preserve">  </w:t>
      </w:r>
    </w:p>
    <w:p w14:paraId="110551D5" w14:textId="77777777" w:rsidR="00C5674D" w:rsidRDefault="00C5674D">
      <w:pPr>
        <w:rPr>
          <w:sz w:val="24"/>
          <w:szCs w:val="24"/>
        </w:rPr>
      </w:pPr>
    </w:p>
    <w:p w14:paraId="14211839" w14:textId="77777777" w:rsidR="00C5674D" w:rsidRDefault="00981F40">
      <w:pPr>
        <w:rPr>
          <w:rFonts w:ascii="Calibri" w:eastAsia="Calibri" w:hAnsi="Calibri" w:cs="Calibri"/>
          <w:color w:val="008080"/>
          <w:sz w:val="24"/>
          <w:szCs w:val="24"/>
          <w:u w:val="single"/>
          <w:lang w:val="en-GB"/>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813300" cy="7963535"/>
                <wp:effectExtent l="0" t="0" r="635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56"/>
                        <a:stretch/>
                      </pic:blipFill>
                      <pic:spPr bwMode="auto">
                        <a:xfrm>
                          <a:off x="0" y="0"/>
                          <a:ext cx="4813300" cy="796353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379.0pt;height:627.0pt;">
                <v:path textboxrect="0,0,0,0"/>
                <v:imagedata r:id="rId57" o:title=""/>
              </v:shape>
            </w:pict>
          </mc:Fallback>
        </mc:AlternateContent>
      </w: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854575" cy="3740785"/>
                <wp:effectExtent l="0" t="0" r="3175"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58"/>
                        <a:stretch/>
                      </pic:blipFill>
                      <pic:spPr bwMode="auto">
                        <a:xfrm>
                          <a:off x="0" y="0"/>
                          <a:ext cx="4854575" cy="374078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382.2pt;height:294.6pt;">
                <v:path textboxrect="0,0,0,0"/>
                <v:imagedata r:id="rId59" o:title=""/>
              </v:shape>
            </w:pict>
          </mc:Fallback>
        </mc:AlternateContent>
      </w:r>
    </w:p>
    <w:p w14:paraId="54AAECE4" w14:textId="77777777" w:rsidR="00C5674D" w:rsidRDefault="00C5674D">
      <w:pPr>
        <w:rPr>
          <w:rFonts w:ascii="Calibri" w:eastAsia="Calibri" w:hAnsi="Calibri" w:cs="Calibri"/>
          <w:color w:val="008080"/>
          <w:sz w:val="24"/>
          <w:szCs w:val="24"/>
          <w:u w:val="single"/>
          <w:lang w:val="en-GB"/>
        </w:rPr>
      </w:pPr>
    </w:p>
    <w:p w14:paraId="3C4ECAC8" w14:textId="77777777" w:rsidR="00C5674D" w:rsidRDefault="00981F40">
      <w:pPr>
        <w:rPr>
          <w:rFonts w:ascii="Calibri" w:eastAsia="Calibri" w:hAnsi="Calibri" w:cs="Calibri"/>
          <w:color w:val="008080"/>
          <w:sz w:val="24"/>
          <w:szCs w:val="24"/>
          <w:u w:val="single"/>
          <w:lang w:val="en-GB"/>
        </w:rPr>
      </w:pPr>
      <w:r>
        <w:rPr>
          <w:rFonts w:ascii="Calibri" w:eastAsia="Calibri" w:hAnsi="Calibri" w:cs="Calibri"/>
          <w:color w:val="008080"/>
          <w:sz w:val="24"/>
          <w:szCs w:val="24"/>
          <w:u w:val="single"/>
          <w:lang w:val="en-GB"/>
        </w:rPr>
        <w:br w:type="page"/>
      </w:r>
    </w:p>
    <w:p w14:paraId="35C64056" w14:textId="77777777" w:rsidR="00C5674D" w:rsidRDefault="00981F40">
      <w:pPr>
        <w:pStyle w:val="Heading1"/>
        <w:rPr>
          <w:sz w:val="24"/>
          <w:szCs w:val="24"/>
        </w:rPr>
      </w:pPr>
      <w:bookmarkStart w:id="24" w:name="_Toc57205855"/>
      <w:r>
        <w:rPr>
          <w:sz w:val="24"/>
          <w:szCs w:val="24"/>
        </w:rPr>
        <w:lastRenderedPageBreak/>
        <w:t>Appendix 4: MRC NHS REC Review tool: NHS REC review not required for sites in Scotland</w:t>
      </w:r>
      <w:bookmarkEnd w:id="24"/>
    </w:p>
    <w:p w14:paraId="119EE961"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mc:AlternateContent>
          <mc:Choice Requires="wpg">
            <w:drawing>
              <wp:inline distT="0" distB="0" distL="0" distR="0">
                <wp:extent cx="4595639" cy="7555079"/>
                <wp:effectExtent l="0" t="0" r="0" b="8255"/>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60"/>
                        <a:stretch/>
                      </pic:blipFill>
                      <pic:spPr bwMode="auto">
                        <a:xfrm>
                          <a:off x="0" y="0"/>
                          <a:ext cx="4596547" cy="755657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61.9pt;height:594.9pt;">
                <v:path textboxrect="0,0,0,0"/>
                <v:imagedata r:id="rId61" o:title=""/>
              </v:shape>
            </w:pict>
          </mc:Fallback>
        </mc:AlternateContent>
      </w:r>
    </w:p>
    <w:p w14:paraId="186BE251"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896485" cy="8087995"/>
                <wp:effectExtent l="0" t="0" r="0" b="8255"/>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pic:cNvPicPr>
                      </pic:nvPicPr>
                      <pic:blipFill>
                        <a:blip r:embed="rId62"/>
                        <a:stretch/>
                      </pic:blipFill>
                      <pic:spPr bwMode="auto">
                        <a:xfrm>
                          <a:off x="0" y="0"/>
                          <a:ext cx="4896485" cy="808799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385.5pt;height:636.9pt;">
                <v:path textboxrect="0,0,0,0"/>
                <v:imagedata r:id="rId63" o:title=""/>
              </v:shape>
            </w:pict>
          </mc:Fallback>
        </mc:AlternateContent>
      </w:r>
    </w:p>
    <w:p w14:paraId="7DD5FA1D"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896485" cy="8079740"/>
                <wp:effectExtent l="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pic:cNvPicPr>
                      </pic:nvPicPr>
                      <pic:blipFill>
                        <a:blip r:embed="rId64"/>
                        <a:stretch/>
                      </pic:blipFill>
                      <pic:spPr bwMode="auto">
                        <a:xfrm>
                          <a:off x="0" y="0"/>
                          <a:ext cx="4896485" cy="80797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385.5pt;height:636.2pt;">
                <v:path textboxrect="0,0,0,0"/>
                <v:imagedata r:id="rId65" o:title=""/>
              </v:shape>
            </w:pict>
          </mc:Fallback>
        </mc:AlternateContent>
      </w:r>
    </w:p>
    <w:p w14:paraId="14E92FB0" w14:textId="77777777" w:rsidR="00C5674D" w:rsidRDefault="00981F40">
      <w:pPr>
        <w:pStyle w:val="Heading1"/>
        <w:rPr>
          <w:sz w:val="24"/>
          <w:szCs w:val="24"/>
        </w:rPr>
      </w:pPr>
      <w:bookmarkStart w:id="25" w:name="_Toc57205856"/>
      <w:r>
        <w:rPr>
          <w:sz w:val="24"/>
          <w:szCs w:val="24"/>
        </w:rPr>
        <w:lastRenderedPageBreak/>
        <w:t>Appendix 5: MRC NHS REC Review tool: NHS REC review not required for sites in Wales</w:t>
      </w:r>
      <w:bookmarkEnd w:id="25"/>
    </w:p>
    <w:p w14:paraId="50D71DDF"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mc:AlternateContent>
          <mc:Choice Requires="wpg">
            <w:drawing>
              <wp:inline distT="0" distB="0" distL="0" distR="0">
                <wp:extent cx="4619044" cy="7593555"/>
                <wp:effectExtent l="0" t="0" r="0" b="7620"/>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66"/>
                        <a:stretch/>
                      </pic:blipFill>
                      <pic:spPr bwMode="auto">
                        <a:xfrm>
                          <a:off x="0" y="0"/>
                          <a:ext cx="4619667" cy="75945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363.7pt;height:597.9pt;">
                <v:path textboxrect="0,0,0,0"/>
                <v:imagedata r:id="rId67" o:title=""/>
              </v:shape>
            </w:pict>
          </mc:Fallback>
        </mc:AlternateContent>
      </w:r>
    </w:p>
    <w:p w14:paraId="67A1D0EC"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904740" cy="8038465"/>
                <wp:effectExtent l="0" t="0" r="0" b="635"/>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pic:cNvPicPr>
                          <a:picLocks noChangeAspect="1"/>
                        </pic:cNvPicPr>
                      </pic:nvPicPr>
                      <pic:blipFill>
                        <a:blip r:embed="rId68"/>
                        <a:stretch/>
                      </pic:blipFill>
                      <pic:spPr bwMode="auto">
                        <a:xfrm>
                          <a:off x="0" y="0"/>
                          <a:ext cx="4904740" cy="803846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86.2pt;height:632.9pt;">
                <v:path textboxrect="0,0,0,0"/>
                <v:imagedata r:id="rId69" o:title=""/>
              </v:shape>
            </w:pict>
          </mc:Fallback>
        </mc:AlternateContent>
      </w:r>
    </w:p>
    <w:p w14:paraId="45D8D091"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887595" cy="8079740"/>
                <wp:effectExtent l="0" t="0" r="8255"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pic:cNvPicPr>
                      </pic:nvPicPr>
                      <pic:blipFill>
                        <a:blip r:embed="rId70"/>
                        <a:stretch/>
                      </pic:blipFill>
                      <pic:spPr bwMode="auto">
                        <a:xfrm>
                          <a:off x="0" y="0"/>
                          <a:ext cx="4887595" cy="80797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84.8pt;height:636.2pt;">
                <v:path textboxrect="0,0,0,0"/>
                <v:imagedata r:id="rId71" o:title=""/>
              </v:shape>
            </w:pict>
          </mc:Fallback>
        </mc:AlternateContent>
      </w:r>
    </w:p>
    <w:p w14:paraId="29C6148F" w14:textId="77777777" w:rsidR="00C5674D" w:rsidRDefault="00981F40">
      <w:pPr>
        <w:pStyle w:val="Heading1"/>
        <w:rPr>
          <w:sz w:val="24"/>
          <w:szCs w:val="24"/>
        </w:rPr>
      </w:pPr>
      <w:bookmarkStart w:id="26" w:name="_Toc57205857"/>
      <w:r>
        <w:rPr>
          <w:sz w:val="24"/>
          <w:szCs w:val="24"/>
        </w:rPr>
        <w:lastRenderedPageBreak/>
        <w:t>Appendix 6: MRC NHS REC Review tool: NHS REC review not required for sites in Northern Ireland</w:t>
      </w:r>
      <w:bookmarkEnd w:id="26"/>
    </w:p>
    <w:p w14:paraId="2F0F692C"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mc:AlternateContent>
          <mc:Choice Requires="wpg">
            <w:drawing>
              <wp:inline distT="0" distB="0" distL="0" distR="0">
                <wp:extent cx="4566193" cy="7533002"/>
                <wp:effectExtent l="0" t="0" r="635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pic:cNvPicPr>
                          <a:picLocks noChangeAspect="1"/>
                        </pic:cNvPicPr>
                      </pic:nvPicPr>
                      <pic:blipFill>
                        <a:blip r:embed="rId72"/>
                        <a:stretch/>
                      </pic:blipFill>
                      <pic:spPr bwMode="auto">
                        <a:xfrm>
                          <a:off x="0" y="0"/>
                          <a:ext cx="4565898" cy="753251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359.5pt;height:593.1pt;">
                <v:path textboxrect="0,0,0,0"/>
                <v:imagedata r:id="rId73" o:title=""/>
              </v:shape>
            </w:pict>
          </mc:Fallback>
        </mc:AlternateContent>
      </w:r>
    </w:p>
    <w:p w14:paraId="7D4291CD"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912995" cy="8038465"/>
                <wp:effectExtent l="0" t="0" r="1905" b="635"/>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pic:cNvPicPr>
                          <a:picLocks noChangeAspect="1"/>
                        </pic:cNvPicPr>
                      </pic:nvPicPr>
                      <pic:blipFill>
                        <a:blip r:embed="rId74"/>
                        <a:stretch/>
                      </pic:blipFill>
                      <pic:spPr bwMode="auto">
                        <a:xfrm>
                          <a:off x="0" y="0"/>
                          <a:ext cx="4912995" cy="803846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386.8pt;height:632.9pt;">
                <v:path textboxrect="0,0,0,0"/>
                <v:imagedata r:id="rId75" o:title=""/>
              </v:shape>
            </w:pict>
          </mc:Fallback>
        </mc:AlternateContent>
      </w:r>
    </w:p>
    <w:p w14:paraId="7DE056FC"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w:lastRenderedPageBreak/>
        <mc:AlternateContent>
          <mc:Choice Requires="wpg">
            <w:drawing>
              <wp:inline distT="0" distB="0" distL="0" distR="0">
                <wp:extent cx="4887595" cy="8046720"/>
                <wp:effectExtent l="0" t="0" r="8255"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pic:cNvPicPr>
                          <a:picLocks noChangeAspect="1"/>
                        </pic:cNvPicPr>
                      </pic:nvPicPr>
                      <pic:blipFill>
                        <a:blip r:embed="rId76"/>
                        <a:stretch/>
                      </pic:blipFill>
                      <pic:spPr bwMode="auto">
                        <a:xfrm>
                          <a:off x="0" y="0"/>
                          <a:ext cx="4887595" cy="804672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84.8pt;height:633.6pt;">
                <v:path textboxrect="0,0,0,0"/>
                <v:imagedata r:id="rId77" o:title=""/>
              </v:shape>
            </w:pict>
          </mc:Fallback>
        </mc:AlternateContent>
      </w:r>
    </w:p>
    <w:p w14:paraId="227608F2" w14:textId="77777777" w:rsidR="00C5674D" w:rsidRDefault="00981F40">
      <w:pPr>
        <w:pStyle w:val="Heading1"/>
        <w:rPr>
          <w:sz w:val="24"/>
          <w:szCs w:val="24"/>
        </w:rPr>
      </w:pPr>
      <w:bookmarkStart w:id="27" w:name="_Toc57205858"/>
      <w:r>
        <w:rPr>
          <w:sz w:val="24"/>
          <w:szCs w:val="24"/>
        </w:rPr>
        <w:lastRenderedPageBreak/>
        <w:t>Appendix 7: Local Patient Database (to be securely stored at site for duration of the study)</w:t>
      </w:r>
      <w:bookmarkEnd w:id="27"/>
    </w:p>
    <w:p w14:paraId="2541E815" w14:textId="77777777" w:rsidR="00C5674D" w:rsidRDefault="00C5674D">
      <w:pPr>
        <w:rPr>
          <w:rFonts w:ascii="Calibri" w:eastAsia="Calibri" w:hAnsi="Calibri" w:cs="Calibri"/>
          <w:color w:val="008080"/>
          <w:sz w:val="24"/>
          <w:szCs w:val="24"/>
          <w:u w:val="single"/>
        </w:rPr>
      </w:pPr>
    </w:p>
    <w:p w14:paraId="6C7141FF" w14:textId="77777777" w:rsidR="00C5674D" w:rsidRDefault="00981F40">
      <w:pPr>
        <w:rPr>
          <w:rFonts w:ascii="Calibri" w:eastAsia="Calibri" w:hAnsi="Calibri" w:cs="Calibri"/>
          <w:color w:val="008080"/>
          <w:sz w:val="24"/>
          <w:szCs w:val="24"/>
          <w:u w:val="single"/>
        </w:rPr>
      </w:pPr>
      <w:r>
        <w:rPr>
          <w:rFonts w:ascii="Calibri" w:eastAsia="Calibri" w:hAnsi="Calibri" w:cs="Calibri"/>
          <w:noProof/>
          <w:color w:val="008080"/>
          <w:sz w:val="24"/>
          <w:szCs w:val="24"/>
          <w:u w:val="single"/>
          <w:lang w:val="en-GB"/>
        </w:rPr>
        <mc:AlternateContent>
          <mc:Choice Requires="wpg">
            <w:drawing>
              <wp:inline distT="0" distB="0" distL="0" distR="0">
                <wp:extent cx="5943600" cy="3662045"/>
                <wp:effectExtent l="0" t="0" r="0" b="0"/>
                <wp:docPr id="34"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Graphical user interface, application, table, Excel&#10;&#10;Description automatically generated"/>
                        <pic:cNvPicPr>
                          <a:picLocks noChangeAspect="1"/>
                        </pic:cNvPicPr>
                      </pic:nvPicPr>
                      <pic:blipFill>
                        <a:blip r:embed="rId78"/>
                        <a:stretch/>
                      </pic:blipFill>
                      <pic:spPr bwMode="auto">
                        <a:xfrm>
                          <a:off x="0" y="0"/>
                          <a:ext cx="5943600" cy="36620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468.0pt;height:288.3pt;" stroked="false">
                <v:path textboxrect="0,0,0,0"/>
                <v:imagedata r:id="rId79" o:title=""/>
              </v:shape>
            </w:pict>
          </mc:Fallback>
        </mc:AlternateContent>
      </w:r>
    </w:p>
    <w:sectPr w:rsidR="00C5674D">
      <w:headerReference w:type="default" r:id="rId80"/>
      <w:footerReference w:type="even" r:id="rId81"/>
      <w:footerReference w:type="default" r:id="rId82"/>
      <w:pgSz w:w="12240" w:h="15840"/>
      <w:pgMar w:top="1440" w:right="1440" w:bottom="1440" w:left="1440" w:header="144" w:footer="720" w:gutter="0"/>
      <w:pgNumType w:start="1"/>
      <w:cols w:space="720"/>
      <w:titlePg/>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iobhan McKay (MEd Educ for Health Prof PT)" w:date="2020-11-25T14:08:00Z" w:initials="SM(EfHPP">
    <w:p w14:paraId="00000001" w14:textId="00000001">
      <w:pPr>
        <w:spacing w:line="240" w:after="0" w:lineRule="auto" w:before="0"/>
        <w:ind w:firstLine="0" w:left="0" w:right="0"/>
        <w:jc w:val="left"/>
      </w:pPr>
      <w:r>
        <w:rPr>
          <w:rFonts w:eastAsia="Arial" w:ascii="Arial" w:hAnsi="Arial" w:cs="Arial"/>
          <w:sz w:val="22"/>
        </w:rPr>
        <w:t xml:space="preserve">MIKE: can we get a PDF version of up to date CRF pls</w:t>
      </w:r>
    </w:p>
  </w:comment>
  <w:comment w:id="1" w:author="Siobhan McKay (MEd Educ for Health Prof PT)" w:date="2020-11-25T14:02:00Z" w:initials="SM(EfHPP">
    <w:p w14:paraId="00000002" w14:textId="00000002">
      <w:pPr>
        <w:spacing w:line="240" w:after="0" w:lineRule="auto" w:before="0"/>
        <w:ind w:firstLine="0" w:left="0" w:right="0"/>
        <w:jc w:val="left"/>
      </w:pPr>
      <w:r>
        <w:rPr>
          <w:rFonts w:eastAsia="Arial" w:ascii="Arial" w:hAnsi="Arial" w:cs="Arial"/>
          <w:sz w:val="22"/>
        </w:rPr>
        <w:t xml:space="preserve">MIKE: we need the updated link for REDCap registration </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2368E3CE"/>
  <w16cid:commentId w16cid:paraId="00000002" w16cid:durableId="2368E2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3D488" w14:textId="77777777" w:rsidR="00313CD7" w:rsidRDefault="00313CD7">
      <w:pPr>
        <w:spacing w:line="240" w:lineRule="auto"/>
      </w:pPr>
      <w:r>
        <w:separator/>
      </w:r>
    </w:p>
  </w:endnote>
  <w:endnote w:type="continuationSeparator" w:id="0">
    <w:p w14:paraId="68BFE53E" w14:textId="77777777" w:rsidR="00313CD7" w:rsidRDefault="00313C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356459"/>
      <w:docPartObj>
        <w:docPartGallery w:val="Page Numbers (Bottom of Page)"/>
        <w:docPartUnique/>
      </w:docPartObj>
    </w:sdtPr>
    <w:sdtEndPr/>
    <w:sdtContent>
      <w:p w14:paraId="29550387" w14:textId="77777777" w:rsidR="000F1256" w:rsidRDefault="000F12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750957" w14:textId="77777777" w:rsidR="000F1256" w:rsidRDefault="000F12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3877" w14:textId="70C654FC" w:rsidR="000F1256" w:rsidRDefault="000F1256">
    <w:pPr>
      <w:pStyle w:val="Footer"/>
      <w:framePr w:wrap="none" w:vAnchor="text" w:hAnchor="margin" w:xAlign="right" w:y="1"/>
      <w:rPr>
        <w:rStyle w:val="PageNumber"/>
      </w:rPr>
    </w:pPr>
  </w:p>
  <w:p w14:paraId="749AFCF4" w14:textId="485D2FFF" w:rsidR="000F1256" w:rsidRPr="00447194" w:rsidRDefault="000F1256" w:rsidP="00447194">
    <w:pPr>
      <w:rPr>
        <w:color w:val="000000" w:themeColor="text1"/>
        <w:sz w:val="16"/>
        <w:szCs w:val="16"/>
      </w:rPr>
    </w:pPr>
    <w:r w:rsidRPr="00447194">
      <w:rPr>
        <w:rFonts w:eastAsia="Calibri"/>
        <w:color w:val="000000" w:themeColor="text1"/>
        <w:sz w:val="16"/>
        <w:szCs w:val="16"/>
      </w:rPr>
      <w:t>Website</w:t>
    </w:r>
    <w:r w:rsidRPr="00447194">
      <w:rPr>
        <w:rFonts w:eastAsia="Calibri"/>
        <w:color w:val="000000" w:themeColor="text1"/>
        <w:sz w:val="16"/>
        <w:szCs w:val="16"/>
      </w:rPr>
      <w:t>:</w:t>
    </w:r>
    <w:r w:rsidR="00447194" w:rsidRPr="00447194">
      <w:rPr>
        <w:rFonts w:eastAsia="Calibri"/>
        <w:color w:val="000000" w:themeColor="text1"/>
        <w:sz w:val="16"/>
        <w:szCs w:val="16"/>
      </w:rPr>
      <w:t xml:space="preserve"> https://www.psgbi.org/contact-study</w:t>
    </w:r>
    <w:r w:rsidRPr="00447194">
      <w:rPr>
        <w:rFonts w:eastAsia="Calibri"/>
        <w:color w:val="000000" w:themeColor="text1"/>
        <w:sz w:val="16"/>
        <w:szCs w:val="16"/>
      </w:rPr>
      <w:t xml:space="preserve">     </w:t>
    </w:r>
    <w:r w:rsidRPr="00447194">
      <w:rPr>
        <w:rFonts w:eastAsia="Calibri"/>
        <w:color w:val="000000" w:themeColor="text1"/>
        <w:sz w:val="16"/>
        <w:szCs w:val="16"/>
      </w:rPr>
      <w:t xml:space="preserve">Email: </w:t>
    </w:r>
    <w:r w:rsidR="000C76DA" w:rsidRPr="00447194">
      <w:rPr>
        <w:color w:val="000000" w:themeColor="text1"/>
        <w:sz w:val="16"/>
        <w:szCs w:val="16"/>
      </w:rPr>
      <w:t>C</w:t>
    </w:r>
    <w:r w:rsidR="000C76DA" w:rsidRPr="00447194">
      <w:rPr>
        <w:rFonts w:eastAsia="Calibri"/>
        <w:color w:val="000000" w:themeColor="text1"/>
        <w:sz w:val="16"/>
        <w:szCs w:val="16"/>
      </w:rPr>
      <w:t>ONTACTaudit@contacts.bham.ac.uk</w:t>
    </w:r>
    <w:r w:rsidRPr="00447194">
      <w:rPr>
        <w:rFonts w:eastAsia="Calibri"/>
        <w:color w:val="000000" w:themeColor="text1"/>
        <w:sz w:val="16"/>
        <w:szCs w:val="16"/>
      </w:rPr>
      <w:t xml:space="preserve">      Twitter: @contactPancreas</w:t>
    </w:r>
  </w:p>
  <w:p w14:paraId="78E700AB" w14:textId="77777777" w:rsidR="000F1256" w:rsidRDefault="000F12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19F41" w14:textId="77777777" w:rsidR="00313CD7" w:rsidRDefault="00313CD7">
      <w:pPr>
        <w:spacing w:line="240" w:lineRule="auto"/>
      </w:pPr>
      <w:r>
        <w:separator/>
      </w:r>
    </w:p>
  </w:footnote>
  <w:footnote w:type="continuationSeparator" w:id="0">
    <w:p w14:paraId="298802D7" w14:textId="77777777" w:rsidR="00313CD7" w:rsidRDefault="00313C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7FD8" w14:textId="77777777" w:rsidR="000F1256" w:rsidRDefault="000F1256">
    <w:pPr>
      <w:jc w:val="right"/>
    </w:pPr>
  </w:p>
  <w:p w14:paraId="37285B9C" w14:textId="77777777" w:rsidR="000F1256" w:rsidRDefault="000F1256">
    <w:pPr>
      <w:jc w:val="right"/>
    </w:pPr>
    <w:r>
      <w:rPr>
        <w:rFonts w:ascii="Calibri" w:eastAsia="Calibri" w:hAnsi="Calibri" w:cs="Calibri"/>
        <w:b/>
        <w:noProof/>
        <w:sz w:val="24"/>
        <w:szCs w:val="24"/>
        <w:lang w:val="en-GB"/>
      </w:rPr>
      <mc:AlternateContent>
        <mc:Choice Requires="wpg">
          <w:drawing>
            <wp:inline distT="0" distB="0" distL="0" distR="0">
              <wp:extent cx="851247" cy="561860"/>
              <wp:effectExtent l="0" t="0" r="0" b="0"/>
              <wp:docPr id="1"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A picture containing text&#10;&#10;Description automatically generated"/>
                      <pic:cNvPicPr>
                        <a:picLocks noChangeAspect="1"/>
                      </pic:cNvPicPr>
                    </pic:nvPicPr>
                    <pic:blipFill>
                      <a:blip r:embed="rId1"/>
                      <a:stretch/>
                    </pic:blipFill>
                    <pic:spPr bwMode="auto">
                      <a:xfrm>
                        <a:off x="0" y="0"/>
                        <a:ext cx="866133" cy="5716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67.0pt;height:44.2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46B7E"/>
    <w:multiLevelType w:val="hybridMultilevel"/>
    <w:tmpl w:val="05FE3636"/>
    <w:lvl w:ilvl="0" w:tplc="264EF124">
      <w:start w:val="1"/>
      <w:numFmt w:val="bullet"/>
      <w:lvlText w:val=""/>
      <w:lvlJc w:val="left"/>
      <w:pPr>
        <w:ind w:left="720" w:hanging="360"/>
      </w:pPr>
      <w:rPr>
        <w:rFonts w:ascii="Symbol" w:hAnsi="Symbol" w:hint="default"/>
      </w:rPr>
    </w:lvl>
    <w:lvl w:ilvl="1" w:tplc="AC606406">
      <w:start w:val="1"/>
      <w:numFmt w:val="bullet"/>
      <w:lvlText w:val="o"/>
      <w:lvlJc w:val="left"/>
      <w:pPr>
        <w:ind w:left="1440" w:hanging="360"/>
      </w:pPr>
      <w:rPr>
        <w:rFonts w:ascii="Courier New" w:hAnsi="Courier New" w:cs="Courier New" w:hint="default"/>
      </w:rPr>
    </w:lvl>
    <w:lvl w:ilvl="2" w:tplc="AB349FDA">
      <w:start w:val="1"/>
      <w:numFmt w:val="bullet"/>
      <w:lvlText w:val=""/>
      <w:lvlJc w:val="left"/>
      <w:pPr>
        <w:ind w:left="2160" w:hanging="360"/>
      </w:pPr>
      <w:rPr>
        <w:rFonts w:ascii="Wingdings" w:hAnsi="Wingdings" w:hint="default"/>
      </w:rPr>
    </w:lvl>
    <w:lvl w:ilvl="3" w:tplc="E9B67A5C">
      <w:start w:val="1"/>
      <w:numFmt w:val="bullet"/>
      <w:lvlText w:val=""/>
      <w:lvlJc w:val="left"/>
      <w:pPr>
        <w:ind w:left="2880" w:hanging="360"/>
      </w:pPr>
      <w:rPr>
        <w:rFonts w:ascii="Symbol" w:hAnsi="Symbol" w:hint="default"/>
      </w:rPr>
    </w:lvl>
    <w:lvl w:ilvl="4" w:tplc="78F827B2">
      <w:start w:val="1"/>
      <w:numFmt w:val="bullet"/>
      <w:lvlText w:val="o"/>
      <w:lvlJc w:val="left"/>
      <w:pPr>
        <w:ind w:left="3600" w:hanging="360"/>
      </w:pPr>
      <w:rPr>
        <w:rFonts w:ascii="Courier New" w:hAnsi="Courier New" w:cs="Courier New" w:hint="default"/>
      </w:rPr>
    </w:lvl>
    <w:lvl w:ilvl="5" w:tplc="5A04A5B0">
      <w:start w:val="1"/>
      <w:numFmt w:val="bullet"/>
      <w:lvlText w:val=""/>
      <w:lvlJc w:val="left"/>
      <w:pPr>
        <w:ind w:left="4320" w:hanging="360"/>
      </w:pPr>
      <w:rPr>
        <w:rFonts w:ascii="Wingdings" w:hAnsi="Wingdings" w:hint="default"/>
      </w:rPr>
    </w:lvl>
    <w:lvl w:ilvl="6" w:tplc="C726719A">
      <w:start w:val="1"/>
      <w:numFmt w:val="bullet"/>
      <w:lvlText w:val=""/>
      <w:lvlJc w:val="left"/>
      <w:pPr>
        <w:ind w:left="5040" w:hanging="360"/>
      </w:pPr>
      <w:rPr>
        <w:rFonts w:ascii="Symbol" w:hAnsi="Symbol" w:hint="default"/>
      </w:rPr>
    </w:lvl>
    <w:lvl w:ilvl="7" w:tplc="B1F0F38C">
      <w:start w:val="1"/>
      <w:numFmt w:val="bullet"/>
      <w:lvlText w:val="o"/>
      <w:lvlJc w:val="left"/>
      <w:pPr>
        <w:ind w:left="5760" w:hanging="360"/>
      </w:pPr>
      <w:rPr>
        <w:rFonts w:ascii="Courier New" w:hAnsi="Courier New" w:cs="Courier New" w:hint="default"/>
      </w:rPr>
    </w:lvl>
    <w:lvl w:ilvl="8" w:tplc="0A248BE6">
      <w:start w:val="1"/>
      <w:numFmt w:val="bullet"/>
      <w:lvlText w:val=""/>
      <w:lvlJc w:val="left"/>
      <w:pPr>
        <w:ind w:left="6480" w:hanging="360"/>
      </w:pPr>
      <w:rPr>
        <w:rFonts w:ascii="Wingdings" w:hAnsi="Wingdings" w:hint="default"/>
      </w:rPr>
    </w:lvl>
  </w:abstractNum>
  <w:abstractNum w:abstractNumId="1" w15:restartNumberingAfterBreak="0">
    <w:nsid w:val="0D5D53A0"/>
    <w:multiLevelType w:val="hybridMultilevel"/>
    <w:tmpl w:val="B0C857F0"/>
    <w:lvl w:ilvl="0" w:tplc="EBC0EB18">
      <w:start w:val="1"/>
      <w:numFmt w:val="bullet"/>
      <w:lvlText w:val=""/>
      <w:lvlJc w:val="left"/>
      <w:pPr>
        <w:ind w:left="720" w:hanging="360"/>
      </w:pPr>
      <w:rPr>
        <w:rFonts w:ascii="Symbol" w:hAnsi="Symbol" w:hint="default"/>
      </w:rPr>
    </w:lvl>
    <w:lvl w:ilvl="1" w:tplc="B9D805E6">
      <w:start w:val="1"/>
      <w:numFmt w:val="bullet"/>
      <w:lvlText w:val="o"/>
      <w:lvlJc w:val="left"/>
      <w:pPr>
        <w:ind w:left="1440" w:hanging="360"/>
      </w:pPr>
      <w:rPr>
        <w:rFonts w:ascii="Courier New" w:hAnsi="Courier New" w:cs="Courier New" w:hint="default"/>
      </w:rPr>
    </w:lvl>
    <w:lvl w:ilvl="2" w:tplc="B792EDF0">
      <w:start w:val="1"/>
      <w:numFmt w:val="bullet"/>
      <w:lvlText w:val=""/>
      <w:lvlJc w:val="left"/>
      <w:pPr>
        <w:ind w:left="2160" w:hanging="360"/>
      </w:pPr>
      <w:rPr>
        <w:rFonts w:ascii="Wingdings" w:hAnsi="Wingdings" w:hint="default"/>
      </w:rPr>
    </w:lvl>
    <w:lvl w:ilvl="3" w:tplc="A9C8CECA">
      <w:start w:val="1"/>
      <w:numFmt w:val="bullet"/>
      <w:lvlText w:val=""/>
      <w:lvlJc w:val="left"/>
      <w:pPr>
        <w:ind w:left="2880" w:hanging="360"/>
      </w:pPr>
      <w:rPr>
        <w:rFonts w:ascii="Symbol" w:hAnsi="Symbol" w:hint="default"/>
      </w:rPr>
    </w:lvl>
    <w:lvl w:ilvl="4" w:tplc="D690FB5E">
      <w:start w:val="1"/>
      <w:numFmt w:val="bullet"/>
      <w:lvlText w:val="o"/>
      <w:lvlJc w:val="left"/>
      <w:pPr>
        <w:ind w:left="3600" w:hanging="360"/>
      </w:pPr>
      <w:rPr>
        <w:rFonts w:ascii="Courier New" w:hAnsi="Courier New" w:cs="Courier New" w:hint="default"/>
      </w:rPr>
    </w:lvl>
    <w:lvl w:ilvl="5" w:tplc="F1F87EC0">
      <w:start w:val="1"/>
      <w:numFmt w:val="bullet"/>
      <w:lvlText w:val=""/>
      <w:lvlJc w:val="left"/>
      <w:pPr>
        <w:ind w:left="4320" w:hanging="360"/>
      </w:pPr>
      <w:rPr>
        <w:rFonts w:ascii="Wingdings" w:hAnsi="Wingdings" w:hint="default"/>
      </w:rPr>
    </w:lvl>
    <w:lvl w:ilvl="6" w:tplc="0422DD8E">
      <w:start w:val="1"/>
      <w:numFmt w:val="bullet"/>
      <w:lvlText w:val=""/>
      <w:lvlJc w:val="left"/>
      <w:pPr>
        <w:ind w:left="5040" w:hanging="360"/>
      </w:pPr>
      <w:rPr>
        <w:rFonts w:ascii="Symbol" w:hAnsi="Symbol" w:hint="default"/>
      </w:rPr>
    </w:lvl>
    <w:lvl w:ilvl="7" w:tplc="32C41210">
      <w:start w:val="1"/>
      <w:numFmt w:val="bullet"/>
      <w:lvlText w:val="o"/>
      <w:lvlJc w:val="left"/>
      <w:pPr>
        <w:ind w:left="5760" w:hanging="360"/>
      </w:pPr>
      <w:rPr>
        <w:rFonts w:ascii="Courier New" w:hAnsi="Courier New" w:cs="Courier New" w:hint="default"/>
      </w:rPr>
    </w:lvl>
    <w:lvl w:ilvl="8" w:tplc="6CA0D03C">
      <w:start w:val="1"/>
      <w:numFmt w:val="bullet"/>
      <w:lvlText w:val=""/>
      <w:lvlJc w:val="left"/>
      <w:pPr>
        <w:ind w:left="6480" w:hanging="360"/>
      </w:pPr>
      <w:rPr>
        <w:rFonts w:ascii="Wingdings" w:hAnsi="Wingdings" w:hint="default"/>
      </w:rPr>
    </w:lvl>
  </w:abstractNum>
  <w:abstractNum w:abstractNumId="2" w15:restartNumberingAfterBreak="0">
    <w:nsid w:val="110928F4"/>
    <w:multiLevelType w:val="hybridMultilevel"/>
    <w:tmpl w:val="BD1A3E80"/>
    <w:lvl w:ilvl="0" w:tplc="0748AC4C">
      <w:start w:val="1"/>
      <w:numFmt w:val="bullet"/>
      <w:lvlText w:val=""/>
      <w:lvlJc w:val="left"/>
      <w:pPr>
        <w:ind w:left="720" w:hanging="360"/>
      </w:pPr>
      <w:rPr>
        <w:rFonts w:ascii="Symbol" w:hAnsi="Symbol" w:hint="default"/>
      </w:rPr>
    </w:lvl>
    <w:lvl w:ilvl="1" w:tplc="91AA8A24">
      <w:start w:val="1"/>
      <w:numFmt w:val="bullet"/>
      <w:lvlText w:val="o"/>
      <w:lvlJc w:val="left"/>
      <w:pPr>
        <w:ind w:left="1440" w:hanging="360"/>
      </w:pPr>
      <w:rPr>
        <w:rFonts w:ascii="Courier New" w:hAnsi="Courier New" w:cs="Courier New" w:hint="default"/>
      </w:rPr>
    </w:lvl>
    <w:lvl w:ilvl="2" w:tplc="E97A964C">
      <w:start w:val="1"/>
      <w:numFmt w:val="bullet"/>
      <w:lvlText w:val=""/>
      <w:lvlJc w:val="left"/>
      <w:pPr>
        <w:ind w:left="2160" w:hanging="360"/>
      </w:pPr>
      <w:rPr>
        <w:rFonts w:ascii="Wingdings" w:hAnsi="Wingdings" w:hint="default"/>
      </w:rPr>
    </w:lvl>
    <w:lvl w:ilvl="3" w:tplc="65341864">
      <w:start w:val="1"/>
      <w:numFmt w:val="bullet"/>
      <w:lvlText w:val=""/>
      <w:lvlJc w:val="left"/>
      <w:pPr>
        <w:ind w:left="2880" w:hanging="360"/>
      </w:pPr>
      <w:rPr>
        <w:rFonts w:ascii="Symbol" w:hAnsi="Symbol" w:hint="default"/>
      </w:rPr>
    </w:lvl>
    <w:lvl w:ilvl="4" w:tplc="F6D60C80">
      <w:start w:val="1"/>
      <w:numFmt w:val="bullet"/>
      <w:lvlText w:val="o"/>
      <w:lvlJc w:val="left"/>
      <w:pPr>
        <w:ind w:left="3600" w:hanging="360"/>
      </w:pPr>
      <w:rPr>
        <w:rFonts w:ascii="Courier New" w:hAnsi="Courier New" w:cs="Courier New" w:hint="default"/>
      </w:rPr>
    </w:lvl>
    <w:lvl w:ilvl="5" w:tplc="CDDE48FA">
      <w:start w:val="1"/>
      <w:numFmt w:val="bullet"/>
      <w:lvlText w:val=""/>
      <w:lvlJc w:val="left"/>
      <w:pPr>
        <w:ind w:left="4320" w:hanging="360"/>
      </w:pPr>
      <w:rPr>
        <w:rFonts w:ascii="Wingdings" w:hAnsi="Wingdings" w:hint="default"/>
      </w:rPr>
    </w:lvl>
    <w:lvl w:ilvl="6" w:tplc="F7DE87BE">
      <w:start w:val="1"/>
      <w:numFmt w:val="bullet"/>
      <w:lvlText w:val=""/>
      <w:lvlJc w:val="left"/>
      <w:pPr>
        <w:ind w:left="5040" w:hanging="360"/>
      </w:pPr>
      <w:rPr>
        <w:rFonts w:ascii="Symbol" w:hAnsi="Symbol" w:hint="default"/>
      </w:rPr>
    </w:lvl>
    <w:lvl w:ilvl="7" w:tplc="EB52303C">
      <w:start w:val="1"/>
      <w:numFmt w:val="bullet"/>
      <w:lvlText w:val="o"/>
      <w:lvlJc w:val="left"/>
      <w:pPr>
        <w:ind w:left="5760" w:hanging="360"/>
      </w:pPr>
      <w:rPr>
        <w:rFonts w:ascii="Courier New" w:hAnsi="Courier New" w:cs="Courier New" w:hint="default"/>
      </w:rPr>
    </w:lvl>
    <w:lvl w:ilvl="8" w:tplc="B2829C44">
      <w:start w:val="1"/>
      <w:numFmt w:val="bullet"/>
      <w:lvlText w:val=""/>
      <w:lvlJc w:val="left"/>
      <w:pPr>
        <w:ind w:left="6480" w:hanging="360"/>
      </w:pPr>
      <w:rPr>
        <w:rFonts w:ascii="Wingdings" w:hAnsi="Wingdings" w:hint="default"/>
      </w:rPr>
    </w:lvl>
  </w:abstractNum>
  <w:abstractNum w:abstractNumId="3" w15:restartNumberingAfterBreak="0">
    <w:nsid w:val="1403601F"/>
    <w:multiLevelType w:val="hybridMultilevel"/>
    <w:tmpl w:val="A7B2D72C"/>
    <w:lvl w:ilvl="0" w:tplc="5E7A05DA">
      <w:start w:val="1"/>
      <w:numFmt w:val="bullet"/>
      <w:lvlText w:val=""/>
      <w:lvlJc w:val="left"/>
      <w:pPr>
        <w:ind w:left="720" w:hanging="360"/>
      </w:pPr>
      <w:rPr>
        <w:rFonts w:ascii="Symbol" w:hAnsi="Symbol" w:hint="default"/>
      </w:rPr>
    </w:lvl>
    <w:lvl w:ilvl="1" w:tplc="FE466DD6">
      <w:start w:val="1"/>
      <w:numFmt w:val="bullet"/>
      <w:lvlText w:val="o"/>
      <w:lvlJc w:val="left"/>
      <w:pPr>
        <w:ind w:left="1440" w:hanging="360"/>
      </w:pPr>
      <w:rPr>
        <w:rFonts w:ascii="Courier New" w:hAnsi="Courier New" w:cs="Courier New" w:hint="default"/>
      </w:rPr>
    </w:lvl>
    <w:lvl w:ilvl="2" w:tplc="1F86BFAC">
      <w:start w:val="1"/>
      <w:numFmt w:val="bullet"/>
      <w:lvlText w:val=""/>
      <w:lvlJc w:val="left"/>
      <w:pPr>
        <w:ind w:left="2160" w:hanging="360"/>
      </w:pPr>
      <w:rPr>
        <w:rFonts w:ascii="Wingdings" w:hAnsi="Wingdings" w:hint="default"/>
      </w:rPr>
    </w:lvl>
    <w:lvl w:ilvl="3" w:tplc="C59ED35A">
      <w:start w:val="1"/>
      <w:numFmt w:val="bullet"/>
      <w:lvlText w:val=""/>
      <w:lvlJc w:val="left"/>
      <w:pPr>
        <w:ind w:left="2880" w:hanging="360"/>
      </w:pPr>
      <w:rPr>
        <w:rFonts w:ascii="Symbol" w:hAnsi="Symbol" w:hint="default"/>
      </w:rPr>
    </w:lvl>
    <w:lvl w:ilvl="4" w:tplc="B82CF710">
      <w:start w:val="1"/>
      <w:numFmt w:val="bullet"/>
      <w:lvlText w:val="o"/>
      <w:lvlJc w:val="left"/>
      <w:pPr>
        <w:ind w:left="3600" w:hanging="360"/>
      </w:pPr>
      <w:rPr>
        <w:rFonts w:ascii="Courier New" w:hAnsi="Courier New" w:cs="Courier New" w:hint="default"/>
      </w:rPr>
    </w:lvl>
    <w:lvl w:ilvl="5" w:tplc="DE86505A">
      <w:start w:val="1"/>
      <w:numFmt w:val="bullet"/>
      <w:lvlText w:val=""/>
      <w:lvlJc w:val="left"/>
      <w:pPr>
        <w:ind w:left="4320" w:hanging="360"/>
      </w:pPr>
      <w:rPr>
        <w:rFonts w:ascii="Wingdings" w:hAnsi="Wingdings" w:hint="default"/>
      </w:rPr>
    </w:lvl>
    <w:lvl w:ilvl="6" w:tplc="E072FF8C">
      <w:start w:val="1"/>
      <w:numFmt w:val="bullet"/>
      <w:lvlText w:val=""/>
      <w:lvlJc w:val="left"/>
      <w:pPr>
        <w:ind w:left="5040" w:hanging="360"/>
      </w:pPr>
      <w:rPr>
        <w:rFonts w:ascii="Symbol" w:hAnsi="Symbol" w:hint="default"/>
      </w:rPr>
    </w:lvl>
    <w:lvl w:ilvl="7" w:tplc="393E7AF6">
      <w:start w:val="1"/>
      <w:numFmt w:val="bullet"/>
      <w:lvlText w:val="o"/>
      <w:lvlJc w:val="left"/>
      <w:pPr>
        <w:ind w:left="5760" w:hanging="360"/>
      </w:pPr>
      <w:rPr>
        <w:rFonts w:ascii="Courier New" w:hAnsi="Courier New" w:cs="Courier New" w:hint="default"/>
      </w:rPr>
    </w:lvl>
    <w:lvl w:ilvl="8" w:tplc="9F029AFA">
      <w:start w:val="1"/>
      <w:numFmt w:val="bullet"/>
      <w:lvlText w:val=""/>
      <w:lvlJc w:val="left"/>
      <w:pPr>
        <w:ind w:left="6480" w:hanging="360"/>
      </w:pPr>
      <w:rPr>
        <w:rFonts w:ascii="Wingdings" w:hAnsi="Wingdings" w:hint="default"/>
      </w:rPr>
    </w:lvl>
  </w:abstractNum>
  <w:abstractNum w:abstractNumId="4" w15:restartNumberingAfterBreak="0">
    <w:nsid w:val="15EA7006"/>
    <w:multiLevelType w:val="hybridMultilevel"/>
    <w:tmpl w:val="EF98212C"/>
    <w:lvl w:ilvl="0" w:tplc="E3303E14">
      <w:start w:val="1"/>
      <w:numFmt w:val="bullet"/>
      <w:lvlText w:val=""/>
      <w:lvlJc w:val="left"/>
      <w:pPr>
        <w:ind w:left="720" w:hanging="360"/>
      </w:pPr>
      <w:rPr>
        <w:rFonts w:ascii="Symbol" w:hAnsi="Symbol" w:hint="default"/>
      </w:rPr>
    </w:lvl>
    <w:lvl w:ilvl="1" w:tplc="F648E1EC">
      <w:start w:val="1"/>
      <w:numFmt w:val="bullet"/>
      <w:lvlText w:val="o"/>
      <w:lvlJc w:val="left"/>
      <w:pPr>
        <w:ind w:left="1440" w:hanging="360"/>
      </w:pPr>
      <w:rPr>
        <w:rFonts w:ascii="Courier New" w:hAnsi="Courier New" w:cs="Courier New" w:hint="default"/>
      </w:rPr>
    </w:lvl>
    <w:lvl w:ilvl="2" w:tplc="BDCA77FA">
      <w:start w:val="1"/>
      <w:numFmt w:val="bullet"/>
      <w:lvlText w:val=""/>
      <w:lvlJc w:val="left"/>
      <w:pPr>
        <w:ind w:left="2160" w:hanging="360"/>
      </w:pPr>
      <w:rPr>
        <w:rFonts w:ascii="Wingdings" w:hAnsi="Wingdings" w:hint="default"/>
      </w:rPr>
    </w:lvl>
    <w:lvl w:ilvl="3" w:tplc="34F62AB4">
      <w:start w:val="1"/>
      <w:numFmt w:val="bullet"/>
      <w:lvlText w:val=""/>
      <w:lvlJc w:val="left"/>
      <w:pPr>
        <w:ind w:left="2880" w:hanging="360"/>
      </w:pPr>
      <w:rPr>
        <w:rFonts w:ascii="Symbol" w:hAnsi="Symbol" w:hint="default"/>
      </w:rPr>
    </w:lvl>
    <w:lvl w:ilvl="4" w:tplc="9B56A91A">
      <w:start w:val="1"/>
      <w:numFmt w:val="bullet"/>
      <w:lvlText w:val="o"/>
      <w:lvlJc w:val="left"/>
      <w:pPr>
        <w:ind w:left="3600" w:hanging="360"/>
      </w:pPr>
      <w:rPr>
        <w:rFonts w:ascii="Courier New" w:hAnsi="Courier New" w:cs="Courier New" w:hint="default"/>
      </w:rPr>
    </w:lvl>
    <w:lvl w:ilvl="5" w:tplc="FB4C1B48">
      <w:start w:val="1"/>
      <w:numFmt w:val="bullet"/>
      <w:lvlText w:val=""/>
      <w:lvlJc w:val="left"/>
      <w:pPr>
        <w:ind w:left="4320" w:hanging="360"/>
      </w:pPr>
      <w:rPr>
        <w:rFonts w:ascii="Wingdings" w:hAnsi="Wingdings" w:hint="default"/>
      </w:rPr>
    </w:lvl>
    <w:lvl w:ilvl="6" w:tplc="F8D47D3E">
      <w:start w:val="1"/>
      <w:numFmt w:val="bullet"/>
      <w:lvlText w:val=""/>
      <w:lvlJc w:val="left"/>
      <w:pPr>
        <w:ind w:left="5040" w:hanging="360"/>
      </w:pPr>
      <w:rPr>
        <w:rFonts w:ascii="Symbol" w:hAnsi="Symbol" w:hint="default"/>
      </w:rPr>
    </w:lvl>
    <w:lvl w:ilvl="7" w:tplc="59325A66">
      <w:start w:val="1"/>
      <w:numFmt w:val="bullet"/>
      <w:lvlText w:val="o"/>
      <w:lvlJc w:val="left"/>
      <w:pPr>
        <w:ind w:left="5760" w:hanging="360"/>
      </w:pPr>
      <w:rPr>
        <w:rFonts w:ascii="Courier New" w:hAnsi="Courier New" w:cs="Courier New" w:hint="default"/>
      </w:rPr>
    </w:lvl>
    <w:lvl w:ilvl="8" w:tplc="72409C02">
      <w:start w:val="1"/>
      <w:numFmt w:val="bullet"/>
      <w:lvlText w:val=""/>
      <w:lvlJc w:val="left"/>
      <w:pPr>
        <w:ind w:left="6480" w:hanging="360"/>
      </w:pPr>
      <w:rPr>
        <w:rFonts w:ascii="Wingdings" w:hAnsi="Wingdings" w:hint="default"/>
      </w:rPr>
    </w:lvl>
  </w:abstractNum>
  <w:abstractNum w:abstractNumId="5" w15:restartNumberingAfterBreak="0">
    <w:nsid w:val="1D4D5202"/>
    <w:multiLevelType w:val="hybridMultilevel"/>
    <w:tmpl w:val="9B4AFB1E"/>
    <w:lvl w:ilvl="0" w:tplc="5E86B6B6">
      <w:start w:val="1"/>
      <w:numFmt w:val="bullet"/>
      <w:lvlText w:val=""/>
      <w:lvlJc w:val="left"/>
      <w:pPr>
        <w:tabs>
          <w:tab w:val="num" w:pos="720"/>
        </w:tabs>
        <w:ind w:left="720" w:hanging="360"/>
      </w:pPr>
      <w:rPr>
        <w:rFonts w:ascii="Symbol" w:hAnsi="Symbol" w:hint="default"/>
        <w:sz w:val="20"/>
      </w:rPr>
    </w:lvl>
    <w:lvl w:ilvl="1" w:tplc="04245014">
      <w:start w:val="1"/>
      <w:numFmt w:val="bullet"/>
      <w:lvlText w:val="o"/>
      <w:lvlJc w:val="left"/>
      <w:pPr>
        <w:tabs>
          <w:tab w:val="num" w:pos="1440"/>
        </w:tabs>
        <w:ind w:left="1440" w:hanging="360"/>
      </w:pPr>
      <w:rPr>
        <w:rFonts w:ascii="Courier New" w:hAnsi="Courier New" w:hint="default"/>
        <w:sz w:val="20"/>
      </w:rPr>
    </w:lvl>
    <w:lvl w:ilvl="2" w:tplc="7DA0F970">
      <w:start w:val="1"/>
      <w:numFmt w:val="bullet"/>
      <w:lvlText w:val=""/>
      <w:lvlJc w:val="left"/>
      <w:pPr>
        <w:tabs>
          <w:tab w:val="num" w:pos="2160"/>
        </w:tabs>
        <w:ind w:left="2160" w:hanging="360"/>
      </w:pPr>
      <w:rPr>
        <w:rFonts w:ascii="Wingdings" w:hAnsi="Wingdings" w:hint="default"/>
        <w:sz w:val="20"/>
      </w:rPr>
    </w:lvl>
    <w:lvl w:ilvl="3" w:tplc="C21E9610">
      <w:start w:val="1"/>
      <w:numFmt w:val="bullet"/>
      <w:lvlText w:val=""/>
      <w:lvlJc w:val="left"/>
      <w:pPr>
        <w:tabs>
          <w:tab w:val="num" w:pos="2880"/>
        </w:tabs>
        <w:ind w:left="2880" w:hanging="360"/>
      </w:pPr>
      <w:rPr>
        <w:rFonts w:ascii="Wingdings" w:hAnsi="Wingdings" w:hint="default"/>
        <w:sz w:val="20"/>
      </w:rPr>
    </w:lvl>
    <w:lvl w:ilvl="4" w:tplc="50D0AEDA">
      <w:start w:val="1"/>
      <w:numFmt w:val="bullet"/>
      <w:lvlText w:val=""/>
      <w:lvlJc w:val="left"/>
      <w:pPr>
        <w:tabs>
          <w:tab w:val="num" w:pos="3600"/>
        </w:tabs>
        <w:ind w:left="3600" w:hanging="360"/>
      </w:pPr>
      <w:rPr>
        <w:rFonts w:ascii="Wingdings" w:hAnsi="Wingdings" w:hint="default"/>
        <w:sz w:val="20"/>
      </w:rPr>
    </w:lvl>
    <w:lvl w:ilvl="5" w:tplc="67409D88">
      <w:start w:val="1"/>
      <w:numFmt w:val="bullet"/>
      <w:lvlText w:val=""/>
      <w:lvlJc w:val="left"/>
      <w:pPr>
        <w:tabs>
          <w:tab w:val="num" w:pos="4320"/>
        </w:tabs>
        <w:ind w:left="4320" w:hanging="360"/>
      </w:pPr>
      <w:rPr>
        <w:rFonts w:ascii="Wingdings" w:hAnsi="Wingdings" w:hint="default"/>
        <w:sz w:val="20"/>
      </w:rPr>
    </w:lvl>
    <w:lvl w:ilvl="6" w:tplc="D080615E">
      <w:start w:val="1"/>
      <w:numFmt w:val="bullet"/>
      <w:lvlText w:val=""/>
      <w:lvlJc w:val="left"/>
      <w:pPr>
        <w:tabs>
          <w:tab w:val="num" w:pos="5040"/>
        </w:tabs>
        <w:ind w:left="5040" w:hanging="360"/>
      </w:pPr>
      <w:rPr>
        <w:rFonts w:ascii="Wingdings" w:hAnsi="Wingdings" w:hint="default"/>
        <w:sz w:val="20"/>
      </w:rPr>
    </w:lvl>
    <w:lvl w:ilvl="7" w:tplc="E948FD26">
      <w:start w:val="1"/>
      <w:numFmt w:val="bullet"/>
      <w:lvlText w:val=""/>
      <w:lvlJc w:val="left"/>
      <w:pPr>
        <w:tabs>
          <w:tab w:val="num" w:pos="5760"/>
        </w:tabs>
        <w:ind w:left="5760" w:hanging="360"/>
      </w:pPr>
      <w:rPr>
        <w:rFonts w:ascii="Wingdings" w:hAnsi="Wingdings" w:hint="default"/>
        <w:sz w:val="20"/>
      </w:rPr>
    </w:lvl>
    <w:lvl w:ilvl="8" w:tplc="36A6E482">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91A38"/>
    <w:multiLevelType w:val="hybridMultilevel"/>
    <w:tmpl w:val="10CA6FD4"/>
    <w:lvl w:ilvl="0" w:tplc="AEC2E6CC">
      <w:start w:val="1"/>
      <w:numFmt w:val="bullet"/>
      <w:lvlText w:val=""/>
      <w:lvlJc w:val="left"/>
      <w:pPr>
        <w:ind w:left="720" w:hanging="360"/>
      </w:pPr>
      <w:rPr>
        <w:rFonts w:ascii="Symbol" w:hAnsi="Symbol" w:hint="default"/>
      </w:rPr>
    </w:lvl>
    <w:lvl w:ilvl="1" w:tplc="CF8485F0">
      <w:start w:val="1"/>
      <w:numFmt w:val="bullet"/>
      <w:lvlText w:val="o"/>
      <w:lvlJc w:val="left"/>
      <w:pPr>
        <w:ind w:left="1440" w:hanging="360"/>
      </w:pPr>
      <w:rPr>
        <w:rFonts w:ascii="Courier New" w:hAnsi="Courier New" w:cs="Courier New" w:hint="default"/>
      </w:rPr>
    </w:lvl>
    <w:lvl w:ilvl="2" w:tplc="BBA2A8D8">
      <w:start w:val="1"/>
      <w:numFmt w:val="bullet"/>
      <w:lvlText w:val=""/>
      <w:lvlJc w:val="left"/>
      <w:pPr>
        <w:ind w:left="2160" w:hanging="360"/>
      </w:pPr>
      <w:rPr>
        <w:rFonts w:ascii="Wingdings" w:hAnsi="Wingdings" w:hint="default"/>
      </w:rPr>
    </w:lvl>
    <w:lvl w:ilvl="3" w:tplc="DDFEDAD4">
      <w:start w:val="1"/>
      <w:numFmt w:val="bullet"/>
      <w:lvlText w:val=""/>
      <w:lvlJc w:val="left"/>
      <w:pPr>
        <w:ind w:left="2880" w:hanging="360"/>
      </w:pPr>
      <w:rPr>
        <w:rFonts w:ascii="Symbol" w:hAnsi="Symbol" w:hint="default"/>
      </w:rPr>
    </w:lvl>
    <w:lvl w:ilvl="4" w:tplc="9148E2BC">
      <w:start w:val="1"/>
      <w:numFmt w:val="bullet"/>
      <w:lvlText w:val="o"/>
      <w:lvlJc w:val="left"/>
      <w:pPr>
        <w:ind w:left="3600" w:hanging="360"/>
      </w:pPr>
      <w:rPr>
        <w:rFonts w:ascii="Courier New" w:hAnsi="Courier New" w:cs="Courier New" w:hint="default"/>
      </w:rPr>
    </w:lvl>
    <w:lvl w:ilvl="5" w:tplc="C34A9D34">
      <w:start w:val="1"/>
      <w:numFmt w:val="bullet"/>
      <w:lvlText w:val=""/>
      <w:lvlJc w:val="left"/>
      <w:pPr>
        <w:ind w:left="4320" w:hanging="360"/>
      </w:pPr>
      <w:rPr>
        <w:rFonts w:ascii="Wingdings" w:hAnsi="Wingdings" w:hint="default"/>
      </w:rPr>
    </w:lvl>
    <w:lvl w:ilvl="6" w:tplc="49AA8C18">
      <w:start w:val="1"/>
      <w:numFmt w:val="bullet"/>
      <w:lvlText w:val=""/>
      <w:lvlJc w:val="left"/>
      <w:pPr>
        <w:ind w:left="5040" w:hanging="360"/>
      </w:pPr>
      <w:rPr>
        <w:rFonts w:ascii="Symbol" w:hAnsi="Symbol" w:hint="default"/>
      </w:rPr>
    </w:lvl>
    <w:lvl w:ilvl="7" w:tplc="F0E6697A">
      <w:start w:val="1"/>
      <w:numFmt w:val="bullet"/>
      <w:lvlText w:val="o"/>
      <w:lvlJc w:val="left"/>
      <w:pPr>
        <w:ind w:left="5760" w:hanging="360"/>
      </w:pPr>
      <w:rPr>
        <w:rFonts w:ascii="Courier New" w:hAnsi="Courier New" w:cs="Courier New" w:hint="default"/>
      </w:rPr>
    </w:lvl>
    <w:lvl w:ilvl="8" w:tplc="FCC0F844">
      <w:start w:val="1"/>
      <w:numFmt w:val="bullet"/>
      <w:lvlText w:val=""/>
      <w:lvlJc w:val="left"/>
      <w:pPr>
        <w:ind w:left="6480" w:hanging="360"/>
      </w:pPr>
      <w:rPr>
        <w:rFonts w:ascii="Wingdings" w:hAnsi="Wingdings" w:hint="default"/>
      </w:rPr>
    </w:lvl>
  </w:abstractNum>
  <w:abstractNum w:abstractNumId="7" w15:restartNumberingAfterBreak="0">
    <w:nsid w:val="2441003C"/>
    <w:multiLevelType w:val="hybridMultilevel"/>
    <w:tmpl w:val="345C2226"/>
    <w:lvl w:ilvl="0" w:tplc="7C9024BE">
      <w:start w:val="1"/>
      <w:numFmt w:val="bullet"/>
      <w:lvlText w:val=""/>
      <w:lvlJc w:val="left"/>
      <w:pPr>
        <w:tabs>
          <w:tab w:val="num" w:pos="720"/>
        </w:tabs>
        <w:ind w:left="720" w:hanging="360"/>
      </w:pPr>
      <w:rPr>
        <w:rFonts w:ascii="Symbol" w:hAnsi="Symbol" w:hint="default"/>
        <w:sz w:val="20"/>
      </w:rPr>
    </w:lvl>
    <w:lvl w:ilvl="1" w:tplc="D51658EE">
      <w:start w:val="1"/>
      <w:numFmt w:val="bullet"/>
      <w:lvlText w:val="o"/>
      <w:lvlJc w:val="left"/>
      <w:pPr>
        <w:tabs>
          <w:tab w:val="num" w:pos="1440"/>
        </w:tabs>
        <w:ind w:left="1440" w:hanging="360"/>
      </w:pPr>
      <w:rPr>
        <w:rFonts w:ascii="Courier New" w:hAnsi="Courier New" w:hint="default"/>
        <w:sz w:val="20"/>
      </w:rPr>
    </w:lvl>
    <w:lvl w:ilvl="2" w:tplc="13EECE76">
      <w:start w:val="1"/>
      <w:numFmt w:val="bullet"/>
      <w:lvlText w:val=""/>
      <w:lvlJc w:val="left"/>
      <w:pPr>
        <w:tabs>
          <w:tab w:val="num" w:pos="2160"/>
        </w:tabs>
        <w:ind w:left="2160" w:hanging="360"/>
      </w:pPr>
      <w:rPr>
        <w:rFonts w:ascii="Wingdings" w:hAnsi="Wingdings" w:hint="default"/>
        <w:sz w:val="20"/>
      </w:rPr>
    </w:lvl>
    <w:lvl w:ilvl="3" w:tplc="1A6CE3BC">
      <w:start w:val="1"/>
      <w:numFmt w:val="bullet"/>
      <w:lvlText w:val=""/>
      <w:lvlJc w:val="left"/>
      <w:pPr>
        <w:tabs>
          <w:tab w:val="num" w:pos="2880"/>
        </w:tabs>
        <w:ind w:left="2880" w:hanging="360"/>
      </w:pPr>
      <w:rPr>
        <w:rFonts w:ascii="Wingdings" w:hAnsi="Wingdings" w:hint="default"/>
        <w:sz w:val="20"/>
      </w:rPr>
    </w:lvl>
    <w:lvl w:ilvl="4" w:tplc="4C548538">
      <w:start w:val="1"/>
      <w:numFmt w:val="bullet"/>
      <w:lvlText w:val=""/>
      <w:lvlJc w:val="left"/>
      <w:pPr>
        <w:tabs>
          <w:tab w:val="num" w:pos="3600"/>
        </w:tabs>
        <w:ind w:left="3600" w:hanging="360"/>
      </w:pPr>
      <w:rPr>
        <w:rFonts w:ascii="Wingdings" w:hAnsi="Wingdings" w:hint="default"/>
        <w:sz w:val="20"/>
      </w:rPr>
    </w:lvl>
    <w:lvl w:ilvl="5" w:tplc="3676D402">
      <w:start w:val="1"/>
      <w:numFmt w:val="bullet"/>
      <w:lvlText w:val=""/>
      <w:lvlJc w:val="left"/>
      <w:pPr>
        <w:tabs>
          <w:tab w:val="num" w:pos="4320"/>
        </w:tabs>
        <w:ind w:left="4320" w:hanging="360"/>
      </w:pPr>
      <w:rPr>
        <w:rFonts w:ascii="Wingdings" w:hAnsi="Wingdings" w:hint="default"/>
        <w:sz w:val="20"/>
      </w:rPr>
    </w:lvl>
    <w:lvl w:ilvl="6" w:tplc="F2D2F338">
      <w:start w:val="1"/>
      <w:numFmt w:val="bullet"/>
      <w:lvlText w:val=""/>
      <w:lvlJc w:val="left"/>
      <w:pPr>
        <w:tabs>
          <w:tab w:val="num" w:pos="5040"/>
        </w:tabs>
        <w:ind w:left="5040" w:hanging="360"/>
      </w:pPr>
      <w:rPr>
        <w:rFonts w:ascii="Wingdings" w:hAnsi="Wingdings" w:hint="default"/>
        <w:sz w:val="20"/>
      </w:rPr>
    </w:lvl>
    <w:lvl w:ilvl="7" w:tplc="556219D2">
      <w:start w:val="1"/>
      <w:numFmt w:val="bullet"/>
      <w:lvlText w:val=""/>
      <w:lvlJc w:val="left"/>
      <w:pPr>
        <w:tabs>
          <w:tab w:val="num" w:pos="5760"/>
        </w:tabs>
        <w:ind w:left="5760" w:hanging="360"/>
      </w:pPr>
      <w:rPr>
        <w:rFonts w:ascii="Wingdings" w:hAnsi="Wingdings" w:hint="default"/>
        <w:sz w:val="20"/>
      </w:rPr>
    </w:lvl>
    <w:lvl w:ilvl="8" w:tplc="0E065DFC">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F14AF"/>
    <w:multiLevelType w:val="hybridMultilevel"/>
    <w:tmpl w:val="424A9F82"/>
    <w:lvl w:ilvl="0" w:tplc="C8C260A0">
      <w:start w:val="1"/>
      <w:numFmt w:val="bullet"/>
      <w:lvlText w:val=""/>
      <w:lvlJc w:val="left"/>
      <w:pPr>
        <w:ind w:left="720" w:hanging="360"/>
      </w:pPr>
      <w:rPr>
        <w:rFonts w:ascii="Symbol" w:hAnsi="Symbol" w:hint="default"/>
      </w:rPr>
    </w:lvl>
    <w:lvl w:ilvl="1" w:tplc="54301A46">
      <w:start w:val="1"/>
      <w:numFmt w:val="bullet"/>
      <w:lvlText w:val="o"/>
      <w:lvlJc w:val="left"/>
      <w:pPr>
        <w:ind w:left="1440" w:hanging="360"/>
      </w:pPr>
      <w:rPr>
        <w:rFonts w:ascii="Courier New" w:hAnsi="Courier New" w:cs="Courier New" w:hint="default"/>
      </w:rPr>
    </w:lvl>
    <w:lvl w:ilvl="2" w:tplc="4C245148">
      <w:start w:val="1"/>
      <w:numFmt w:val="bullet"/>
      <w:lvlText w:val=""/>
      <w:lvlJc w:val="left"/>
      <w:pPr>
        <w:ind w:left="2160" w:hanging="360"/>
      </w:pPr>
      <w:rPr>
        <w:rFonts w:ascii="Wingdings" w:hAnsi="Wingdings" w:hint="default"/>
      </w:rPr>
    </w:lvl>
    <w:lvl w:ilvl="3" w:tplc="CF963804">
      <w:start w:val="1"/>
      <w:numFmt w:val="bullet"/>
      <w:lvlText w:val=""/>
      <w:lvlJc w:val="left"/>
      <w:pPr>
        <w:ind w:left="2880" w:hanging="360"/>
      </w:pPr>
      <w:rPr>
        <w:rFonts w:ascii="Symbol" w:hAnsi="Symbol" w:hint="default"/>
      </w:rPr>
    </w:lvl>
    <w:lvl w:ilvl="4" w:tplc="8480C544">
      <w:start w:val="1"/>
      <w:numFmt w:val="bullet"/>
      <w:lvlText w:val="o"/>
      <w:lvlJc w:val="left"/>
      <w:pPr>
        <w:ind w:left="3600" w:hanging="360"/>
      </w:pPr>
      <w:rPr>
        <w:rFonts w:ascii="Courier New" w:hAnsi="Courier New" w:cs="Courier New" w:hint="default"/>
      </w:rPr>
    </w:lvl>
    <w:lvl w:ilvl="5" w:tplc="74A088DC">
      <w:start w:val="1"/>
      <w:numFmt w:val="bullet"/>
      <w:lvlText w:val=""/>
      <w:lvlJc w:val="left"/>
      <w:pPr>
        <w:ind w:left="4320" w:hanging="360"/>
      </w:pPr>
      <w:rPr>
        <w:rFonts w:ascii="Wingdings" w:hAnsi="Wingdings" w:hint="default"/>
      </w:rPr>
    </w:lvl>
    <w:lvl w:ilvl="6" w:tplc="C242E77C">
      <w:start w:val="1"/>
      <w:numFmt w:val="bullet"/>
      <w:lvlText w:val=""/>
      <w:lvlJc w:val="left"/>
      <w:pPr>
        <w:ind w:left="5040" w:hanging="360"/>
      </w:pPr>
      <w:rPr>
        <w:rFonts w:ascii="Symbol" w:hAnsi="Symbol" w:hint="default"/>
      </w:rPr>
    </w:lvl>
    <w:lvl w:ilvl="7" w:tplc="180AB570">
      <w:start w:val="1"/>
      <w:numFmt w:val="bullet"/>
      <w:lvlText w:val="o"/>
      <w:lvlJc w:val="left"/>
      <w:pPr>
        <w:ind w:left="5760" w:hanging="360"/>
      </w:pPr>
      <w:rPr>
        <w:rFonts w:ascii="Courier New" w:hAnsi="Courier New" w:cs="Courier New" w:hint="default"/>
      </w:rPr>
    </w:lvl>
    <w:lvl w:ilvl="8" w:tplc="1848D9CA">
      <w:start w:val="1"/>
      <w:numFmt w:val="bullet"/>
      <w:lvlText w:val=""/>
      <w:lvlJc w:val="left"/>
      <w:pPr>
        <w:ind w:left="6480" w:hanging="360"/>
      </w:pPr>
      <w:rPr>
        <w:rFonts w:ascii="Wingdings" w:hAnsi="Wingdings" w:hint="default"/>
      </w:rPr>
    </w:lvl>
  </w:abstractNum>
  <w:abstractNum w:abstractNumId="9" w15:restartNumberingAfterBreak="0">
    <w:nsid w:val="274D6741"/>
    <w:multiLevelType w:val="hybridMultilevel"/>
    <w:tmpl w:val="0F04812C"/>
    <w:lvl w:ilvl="0" w:tplc="1D966E1C">
      <w:start w:val="1"/>
      <w:numFmt w:val="bullet"/>
      <w:lvlText w:val=""/>
      <w:lvlJc w:val="left"/>
      <w:pPr>
        <w:ind w:left="720" w:hanging="360"/>
      </w:pPr>
      <w:rPr>
        <w:rFonts w:ascii="Symbol" w:hAnsi="Symbol" w:hint="default"/>
      </w:rPr>
    </w:lvl>
    <w:lvl w:ilvl="1" w:tplc="C74C4D06">
      <w:start w:val="1"/>
      <w:numFmt w:val="bullet"/>
      <w:lvlText w:val="o"/>
      <w:lvlJc w:val="left"/>
      <w:pPr>
        <w:ind w:left="1440" w:hanging="360"/>
      </w:pPr>
      <w:rPr>
        <w:rFonts w:ascii="Courier New" w:hAnsi="Courier New" w:cs="Courier New" w:hint="default"/>
      </w:rPr>
    </w:lvl>
    <w:lvl w:ilvl="2" w:tplc="42401CA4">
      <w:start w:val="1"/>
      <w:numFmt w:val="bullet"/>
      <w:lvlText w:val=""/>
      <w:lvlJc w:val="left"/>
      <w:pPr>
        <w:ind w:left="2160" w:hanging="360"/>
      </w:pPr>
      <w:rPr>
        <w:rFonts w:ascii="Wingdings" w:hAnsi="Wingdings" w:hint="default"/>
      </w:rPr>
    </w:lvl>
    <w:lvl w:ilvl="3" w:tplc="1B480EA2">
      <w:start w:val="1"/>
      <w:numFmt w:val="bullet"/>
      <w:lvlText w:val=""/>
      <w:lvlJc w:val="left"/>
      <w:pPr>
        <w:ind w:left="2880" w:hanging="360"/>
      </w:pPr>
      <w:rPr>
        <w:rFonts w:ascii="Symbol" w:hAnsi="Symbol" w:hint="default"/>
      </w:rPr>
    </w:lvl>
    <w:lvl w:ilvl="4" w:tplc="AD8C6920">
      <w:start w:val="1"/>
      <w:numFmt w:val="bullet"/>
      <w:lvlText w:val="o"/>
      <w:lvlJc w:val="left"/>
      <w:pPr>
        <w:ind w:left="3600" w:hanging="360"/>
      </w:pPr>
      <w:rPr>
        <w:rFonts w:ascii="Courier New" w:hAnsi="Courier New" w:cs="Courier New" w:hint="default"/>
      </w:rPr>
    </w:lvl>
    <w:lvl w:ilvl="5" w:tplc="8B247A74">
      <w:start w:val="1"/>
      <w:numFmt w:val="bullet"/>
      <w:lvlText w:val=""/>
      <w:lvlJc w:val="left"/>
      <w:pPr>
        <w:ind w:left="4320" w:hanging="360"/>
      </w:pPr>
      <w:rPr>
        <w:rFonts w:ascii="Wingdings" w:hAnsi="Wingdings" w:hint="default"/>
      </w:rPr>
    </w:lvl>
    <w:lvl w:ilvl="6" w:tplc="3EF6ADEE">
      <w:start w:val="1"/>
      <w:numFmt w:val="bullet"/>
      <w:lvlText w:val=""/>
      <w:lvlJc w:val="left"/>
      <w:pPr>
        <w:ind w:left="5040" w:hanging="360"/>
      </w:pPr>
      <w:rPr>
        <w:rFonts w:ascii="Symbol" w:hAnsi="Symbol" w:hint="default"/>
      </w:rPr>
    </w:lvl>
    <w:lvl w:ilvl="7" w:tplc="0CC06046">
      <w:start w:val="1"/>
      <w:numFmt w:val="bullet"/>
      <w:lvlText w:val="o"/>
      <w:lvlJc w:val="left"/>
      <w:pPr>
        <w:ind w:left="5760" w:hanging="360"/>
      </w:pPr>
      <w:rPr>
        <w:rFonts w:ascii="Courier New" w:hAnsi="Courier New" w:cs="Courier New" w:hint="default"/>
      </w:rPr>
    </w:lvl>
    <w:lvl w:ilvl="8" w:tplc="B23C1B36">
      <w:start w:val="1"/>
      <w:numFmt w:val="bullet"/>
      <w:lvlText w:val=""/>
      <w:lvlJc w:val="left"/>
      <w:pPr>
        <w:ind w:left="6480" w:hanging="360"/>
      </w:pPr>
      <w:rPr>
        <w:rFonts w:ascii="Wingdings" w:hAnsi="Wingdings" w:hint="default"/>
      </w:rPr>
    </w:lvl>
  </w:abstractNum>
  <w:abstractNum w:abstractNumId="10" w15:restartNumberingAfterBreak="0">
    <w:nsid w:val="31536A2D"/>
    <w:multiLevelType w:val="hybridMultilevel"/>
    <w:tmpl w:val="20D28BA2"/>
    <w:lvl w:ilvl="0" w:tplc="35B265DC">
      <w:start w:val="1"/>
      <w:numFmt w:val="bullet"/>
      <w:lvlText w:val=""/>
      <w:lvlJc w:val="left"/>
      <w:pPr>
        <w:ind w:left="720" w:hanging="360"/>
      </w:pPr>
      <w:rPr>
        <w:rFonts w:ascii="Symbol" w:hAnsi="Symbol" w:hint="default"/>
      </w:rPr>
    </w:lvl>
    <w:lvl w:ilvl="1" w:tplc="2F2AA8A8">
      <w:start w:val="1"/>
      <w:numFmt w:val="bullet"/>
      <w:lvlText w:val="o"/>
      <w:lvlJc w:val="left"/>
      <w:pPr>
        <w:ind w:left="1440" w:hanging="360"/>
      </w:pPr>
      <w:rPr>
        <w:rFonts w:ascii="Courier New" w:hAnsi="Courier New" w:cs="Courier New" w:hint="default"/>
      </w:rPr>
    </w:lvl>
    <w:lvl w:ilvl="2" w:tplc="D63E9A1A">
      <w:start w:val="1"/>
      <w:numFmt w:val="bullet"/>
      <w:lvlText w:val=""/>
      <w:lvlJc w:val="left"/>
      <w:pPr>
        <w:ind w:left="2160" w:hanging="360"/>
      </w:pPr>
      <w:rPr>
        <w:rFonts w:ascii="Wingdings" w:hAnsi="Wingdings" w:hint="default"/>
      </w:rPr>
    </w:lvl>
    <w:lvl w:ilvl="3" w:tplc="79A67508">
      <w:start w:val="1"/>
      <w:numFmt w:val="bullet"/>
      <w:lvlText w:val=""/>
      <w:lvlJc w:val="left"/>
      <w:pPr>
        <w:ind w:left="2880" w:hanging="360"/>
      </w:pPr>
      <w:rPr>
        <w:rFonts w:ascii="Symbol" w:hAnsi="Symbol" w:hint="default"/>
      </w:rPr>
    </w:lvl>
    <w:lvl w:ilvl="4" w:tplc="1B12EB9C">
      <w:start w:val="1"/>
      <w:numFmt w:val="bullet"/>
      <w:lvlText w:val="o"/>
      <w:lvlJc w:val="left"/>
      <w:pPr>
        <w:ind w:left="3600" w:hanging="360"/>
      </w:pPr>
      <w:rPr>
        <w:rFonts w:ascii="Courier New" w:hAnsi="Courier New" w:cs="Courier New" w:hint="default"/>
      </w:rPr>
    </w:lvl>
    <w:lvl w:ilvl="5" w:tplc="3E20D776">
      <w:start w:val="1"/>
      <w:numFmt w:val="bullet"/>
      <w:lvlText w:val=""/>
      <w:lvlJc w:val="left"/>
      <w:pPr>
        <w:ind w:left="4320" w:hanging="360"/>
      </w:pPr>
      <w:rPr>
        <w:rFonts w:ascii="Wingdings" w:hAnsi="Wingdings" w:hint="default"/>
      </w:rPr>
    </w:lvl>
    <w:lvl w:ilvl="6" w:tplc="433CB844">
      <w:start w:val="1"/>
      <w:numFmt w:val="bullet"/>
      <w:lvlText w:val=""/>
      <w:lvlJc w:val="left"/>
      <w:pPr>
        <w:ind w:left="5040" w:hanging="360"/>
      </w:pPr>
      <w:rPr>
        <w:rFonts w:ascii="Symbol" w:hAnsi="Symbol" w:hint="default"/>
      </w:rPr>
    </w:lvl>
    <w:lvl w:ilvl="7" w:tplc="AA109EC0">
      <w:start w:val="1"/>
      <w:numFmt w:val="bullet"/>
      <w:lvlText w:val="o"/>
      <w:lvlJc w:val="left"/>
      <w:pPr>
        <w:ind w:left="5760" w:hanging="360"/>
      </w:pPr>
      <w:rPr>
        <w:rFonts w:ascii="Courier New" w:hAnsi="Courier New" w:cs="Courier New" w:hint="default"/>
      </w:rPr>
    </w:lvl>
    <w:lvl w:ilvl="8" w:tplc="B5700878">
      <w:start w:val="1"/>
      <w:numFmt w:val="bullet"/>
      <w:lvlText w:val=""/>
      <w:lvlJc w:val="left"/>
      <w:pPr>
        <w:ind w:left="6480" w:hanging="360"/>
      </w:pPr>
      <w:rPr>
        <w:rFonts w:ascii="Wingdings" w:hAnsi="Wingdings" w:hint="default"/>
      </w:rPr>
    </w:lvl>
  </w:abstractNum>
  <w:abstractNum w:abstractNumId="11" w15:restartNumberingAfterBreak="0">
    <w:nsid w:val="32DD7E31"/>
    <w:multiLevelType w:val="hybridMultilevel"/>
    <w:tmpl w:val="C8AC2620"/>
    <w:lvl w:ilvl="0" w:tplc="0CA2006A">
      <w:start w:val="1"/>
      <w:numFmt w:val="bullet"/>
      <w:lvlText w:val=""/>
      <w:lvlJc w:val="left"/>
      <w:pPr>
        <w:ind w:left="720" w:hanging="360"/>
      </w:pPr>
      <w:rPr>
        <w:rFonts w:ascii="Symbol" w:hAnsi="Symbol" w:hint="default"/>
      </w:rPr>
    </w:lvl>
    <w:lvl w:ilvl="1" w:tplc="3E407AC2">
      <w:start w:val="1"/>
      <w:numFmt w:val="bullet"/>
      <w:lvlText w:val="o"/>
      <w:lvlJc w:val="left"/>
      <w:pPr>
        <w:ind w:left="1440" w:hanging="360"/>
      </w:pPr>
      <w:rPr>
        <w:rFonts w:ascii="Courier New" w:hAnsi="Courier New" w:cs="Courier New" w:hint="default"/>
      </w:rPr>
    </w:lvl>
    <w:lvl w:ilvl="2" w:tplc="FAECB8CA">
      <w:start w:val="1"/>
      <w:numFmt w:val="bullet"/>
      <w:lvlText w:val=""/>
      <w:lvlJc w:val="left"/>
      <w:pPr>
        <w:ind w:left="2160" w:hanging="360"/>
      </w:pPr>
      <w:rPr>
        <w:rFonts w:ascii="Wingdings" w:hAnsi="Wingdings" w:hint="default"/>
      </w:rPr>
    </w:lvl>
    <w:lvl w:ilvl="3" w:tplc="985686BC">
      <w:start w:val="1"/>
      <w:numFmt w:val="bullet"/>
      <w:lvlText w:val=""/>
      <w:lvlJc w:val="left"/>
      <w:pPr>
        <w:ind w:left="2880" w:hanging="360"/>
      </w:pPr>
      <w:rPr>
        <w:rFonts w:ascii="Symbol" w:hAnsi="Symbol" w:hint="default"/>
      </w:rPr>
    </w:lvl>
    <w:lvl w:ilvl="4" w:tplc="5A6EA6D6">
      <w:start w:val="1"/>
      <w:numFmt w:val="bullet"/>
      <w:lvlText w:val="o"/>
      <w:lvlJc w:val="left"/>
      <w:pPr>
        <w:ind w:left="3600" w:hanging="360"/>
      </w:pPr>
      <w:rPr>
        <w:rFonts w:ascii="Courier New" w:hAnsi="Courier New" w:cs="Courier New" w:hint="default"/>
      </w:rPr>
    </w:lvl>
    <w:lvl w:ilvl="5" w:tplc="E89EB51C">
      <w:start w:val="1"/>
      <w:numFmt w:val="bullet"/>
      <w:lvlText w:val=""/>
      <w:lvlJc w:val="left"/>
      <w:pPr>
        <w:ind w:left="4320" w:hanging="360"/>
      </w:pPr>
      <w:rPr>
        <w:rFonts w:ascii="Wingdings" w:hAnsi="Wingdings" w:hint="default"/>
      </w:rPr>
    </w:lvl>
    <w:lvl w:ilvl="6" w:tplc="6A3C1D14">
      <w:start w:val="1"/>
      <w:numFmt w:val="bullet"/>
      <w:lvlText w:val=""/>
      <w:lvlJc w:val="left"/>
      <w:pPr>
        <w:ind w:left="5040" w:hanging="360"/>
      </w:pPr>
      <w:rPr>
        <w:rFonts w:ascii="Symbol" w:hAnsi="Symbol" w:hint="default"/>
      </w:rPr>
    </w:lvl>
    <w:lvl w:ilvl="7" w:tplc="EF821706">
      <w:start w:val="1"/>
      <w:numFmt w:val="bullet"/>
      <w:lvlText w:val="o"/>
      <w:lvlJc w:val="left"/>
      <w:pPr>
        <w:ind w:left="5760" w:hanging="360"/>
      </w:pPr>
      <w:rPr>
        <w:rFonts w:ascii="Courier New" w:hAnsi="Courier New" w:cs="Courier New" w:hint="default"/>
      </w:rPr>
    </w:lvl>
    <w:lvl w:ilvl="8" w:tplc="A1A6E1B4">
      <w:start w:val="1"/>
      <w:numFmt w:val="bullet"/>
      <w:lvlText w:val=""/>
      <w:lvlJc w:val="left"/>
      <w:pPr>
        <w:ind w:left="6480" w:hanging="360"/>
      </w:pPr>
      <w:rPr>
        <w:rFonts w:ascii="Wingdings" w:hAnsi="Wingdings" w:hint="default"/>
      </w:rPr>
    </w:lvl>
  </w:abstractNum>
  <w:abstractNum w:abstractNumId="12" w15:restartNumberingAfterBreak="0">
    <w:nsid w:val="3B416AAE"/>
    <w:multiLevelType w:val="hybridMultilevel"/>
    <w:tmpl w:val="B198CA4C"/>
    <w:lvl w:ilvl="0" w:tplc="9DF0934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13E01"/>
    <w:multiLevelType w:val="hybridMultilevel"/>
    <w:tmpl w:val="E2AA2F24"/>
    <w:lvl w:ilvl="0" w:tplc="F56CB954">
      <w:start w:val="1"/>
      <w:numFmt w:val="bullet"/>
      <w:lvlText w:val=""/>
      <w:lvlJc w:val="left"/>
      <w:pPr>
        <w:ind w:left="720" w:hanging="360"/>
      </w:pPr>
      <w:rPr>
        <w:rFonts w:ascii="Symbol" w:hAnsi="Symbol" w:hint="default"/>
      </w:rPr>
    </w:lvl>
    <w:lvl w:ilvl="1" w:tplc="6C9AB2CE">
      <w:start w:val="1"/>
      <w:numFmt w:val="bullet"/>
      <w:lvlText w:val="o"/>
      <w:lvlJc w:val="left"/>
      <w:pPr>
        <w:ind w:left="1440" w:hanging="360"/>
      </w:pPr>
      <w:rPr>
        <w:rFonts w:ascii="Courier New" w:hAnsi="Courier New" w:cs="Courier New" w:hint="default"/>
      </w:rPr>
    </w:lvl>
    <w:lvl w:ilvl="2" w:tplc="24AC21A0">
      <w:start w:val="1"/>
      <w:numFmt w:val="bullet"/>
      <w:lvlText w:val=""/>
      <w:lvlJc w:val="left"/>
      <w:pPr>
        <w:ind w:left="2160" w:hanging="360"/>
      </w:pPr>
      <w:rPr>
        <w:rFonts w:ascii="Wingdings" w:hAnsi="Wingdings" w:hint="default"/>
      </w:rPr>
    </w:lvl>
    <w:lvl w:ilvl="3" w:tplc="58D69512">
      <w:start w:val="1"/>
      <w:numFmt w:val="bullet"/>
      <w:lvlText w:val=""/>
      <w:lvlJc w:val="left"/>
      <w:pPr>
        <w:ind w:left="2880" w:hanging="360"/>
      </w:pPr>
      <w:rPr>
        <w:rFonts w:ascii="Symbol" w:hAnsi="Symbol" w:hint="default"/>
      </w:rPr>
    </w:lvl>
    <w:lvl w:ilvl="4" w:tplc="64E8B240">
      <w:start w:val="1"/>
      <w:numFmt w:val="bullet"/>
      <w:lvlText w:val="o"/>
      <w:lvlJc w:val="left"/>
      <w:pPr>
        <w:ind w:left="3600" w:hanging="360"/>
      </w:pPr>
      <w:rPr>
        <w:rFonts w:ascii="Courier New" w:hAnsi="Courier New" w:cs="Courier New" w:hint="default"/>
      </w:rPr>
    </w:lvl>
    <w:lvl w:ilvl="5" w:tplc="C70ED74E">
      <w:start w:val="1"/>
      <w:numFmt w:val="bullet"/>
      <w:lvlText w:val=""/>
      <w:lvlJc w:val="left"/>
      <w:pPr>
        <w:ind w:left="4320" w:hanging="360"/>
      </w:pPr>
      <w:rPr>
        <w:rFonts w:ascii="Wingdings" w:hAnsi="Wingdings" w:hint="default"/>
      </w:rPr>
    </w:lvl>
    <w:lvl w:ilvl="6" w:tplc="58682926">
      <w:start w:val="1"/>
      <w:numFmt w:val="bullet"/>
      <w:lvlText w:val=""/>
      <w:lvlJc w:val="left"/>
      <w:pPr>
        <w:ind w:left="5040" w:hanging="360"/>
      </w:pPr>
      <w:rPr>
        <w:rFonts w:ascii="Symbol" w:hAnsi="Symbol" w:hint="default"/>
      </w:rPr>
    </w:lvl>
    <w:lvl w:ilvl="7" w:tplc="0AAE1B06">
      <w:start w:val="1"/>
      <w:numFmt w:val="bullet"/>
      <w:lvlText w:val="o"/>
      <w:lvlJc w:val="left"/>
      <w:pPr>
        <w:ind w:left="5760" w:hanging="360"/>
      </w:pPr>
      <w:rPr>
        <w:rFonts w:ascii="Courier New" w:hAnsi="Courier New" w:cs="Courier New" w:hint="default"/>
      </w:rPr>
    </w:lvl>
    <w:lvl w:ilvl="8" w:tplc="0F4E8B3A">
      <w:start w:val="1"/>
      <w:numFmt w:val="bullet"/>
      <w:lvlText w:val=""/>
      <w:lvlJc w:val="left"/>
      <w:pPr>
        <w:ind w:left="6480" w:hanging="360"/>
      </w:pPr>
      <w:rPr>
        <w:rFonts w:ascii="Wingdings" w:hAnsi="Wingdings" w:hint="default"/>
      </w:rPr>
    </w:lvl>
  </w:abstractNum>
  <w:abstractNum w:abstractNumId="14" w15:restartNumberingAfterBreak="0">
    <w:nsid w:val="53C20B7F"/>
    <w:multiLevelType w:val="hybridMultilevel"/>
    <w:tmpl w:val="8B7A61B4"/>
    <w:lvl w:ilvl="0" w:tplc="C870ED40">
      <w:start w:val="1"/>
      <w:numFmt w:val="bullet"/>
      <w:lvlText w:val=""/>
      <w:lvlJc w:val="left"/>
      <w:pPr>
        <w:tabs>
          <w:tab w:val="num" w:pos="-480"/>
        </w:tabs>
        <w:ind w:left="-480" w:hanging="360"/>
      </w:pPr>
      <w:rPr>
        <w:rFonts w:ascii="Symbol" w:hAnsi="Symbol" w:hint="default"/>
        <w:sz w:val="20"/>
      </w:rPr>
    </w:lvl>
    <w:lvl w:ilvl="1" w:tplc="65FE434C">
      <w:start w:val="1"/>
      <w:numFmt w:val="bullet"/>
      <w:lvlText w:val="o"/>
      <w:lvlJc w:val="left"/>
      <w:pPr>
        <w:tabs>
          <w:tab w:val="num" w:pos="240"/>
        </w:tabs>
        <w:ind w:left="240" w:hanging="360"/>
      </w:pPr>
      <w:rPr>
        <w:rFonts w:ascii="Courier New" w:hAnsi="Courier New" w:hint="default"/>
        <w:sz w:val="20"/>
      </w:rPr>
    </w:lvl>
    <w:lvl w:ilvl="2" w:tplc="4E3A7984">
      <w:start w:val="1"/>
      <w:numFmt w:val="bullet"/>
      <w:lvlText w:val=""/>
      <w:lvlJc w:val="left"/>
      <w:pPr>
        <w:tabs>
          <w:tab w:val="num" w:pos="960"/>
        </w:tabs>
        <w:ind w:left="960" w:hanging="360"/>
      </w:pPr>
      <w:rPr>
        <w:rFonts w:ascii="Wingdings" w:hAnsi="Wingdings" w:hint="default"/>
        <w:sz w:val="20"/>
      </w:rPr>
    </w:lvl>
    <w:lvl w:ilvl="3" w:tplc="505EB674">
      <w:start w:val="1"/>
      <w:numFmt w:val="bullet"/>
      <w:lvlText w:val=""/>
      <w:lvlJc w:val="left"/>
      <w:pPr>
        <w:tabs>
          <w:tab w:val="num" w:pos="1680"/>
        </w:tabs>
        <w:ind w:left="1680" w:hanging="360"/>
      </w:pPr>
      <w:rPr>
        <w:rFonts w:ascii="Wingdings" w:hAnsi="Wingdings" w:hint="default"/>
        <w:sz w:val="20"/>
      </w:rPr>
    </w:lvl>
    <w:lvl w:ilvl="4" w:tplc="100CE5B0">
      <w:start w:val="1"/>
      <w:numFmt w:val="bullet"/>
      <w:lvlText w:val=""/>
      <w:lvlJc w:val="left"/>
      <w:pPr>
        <w:tabs>
          <w:tab w:val="num" w:pos="2400"/>
        </w:tabs>
        <w:ind w:left="2400" w:hanging="360"/>
      </w:pPr>
      <w:rPr>
        <w:rFonts w:ascii="Wingdings" w:hAnsi="Wingdings" w:hint="default"/>
        <w:sz w:val="20"/>
      </w:rPr>
    </w:lvl>
    <w:lvl w:ilvl="5" w:tplc="3946BE56">
      <w:start w:val="1"/>
      <w:numFmt w:val="bullet"/>
      <w:lvlText w:val=""/>
      <w:lvlJc w:val="left"/>
      <w:pPr>
        <w:tabs>
          <w:tab w:val="num" w:pos="3120"/>
        </w:tabs>
        <w:ind w:left="3120" w:hanging="360"/>
      </w:pPr>
      <w:rPr>
        <w:rFonts w:ascii="Wingdings" w:hAnsi="Wingdings" w:hint="default"/>
        <w:sz w:val="20"/>
      </w:rPr>
    </w:lvl>
    <w:lvl w:ilvl="6" w:tplc="969087A8">
      <w:start w:val="1"/>
      <w:numFmt w:val="bullet"/>
      <w:lvlText w:val=""/>
      <w:lvlJc w:val="left"/>
      <w:pPr>
        <w:tabs>
          <w:tab w:val="num" w:pos="3840"/>
        </w:tabs>
        <w:ind w:left="3840" w:hanging="360"/>
      </w:pPr>
      <w:rPr>
        <w:rFonts w:ascii="Wingdings" w:hAnsi="Wingdings" w:hint="default"/>
        <w:sz w:val="20"/>
      </w:rPr>
    </w:lvl>
    <w:lvl w:ilvl="7" w:tplc="9E34A826">
      <w:start w:val="1"/>
      <w:numFmt w:val="bullet"/>
      <w:lvlText w:val=""/>
      <w:lvlJc w:val="left"/>
      <w:pPr>
        <w:tabs>
          <w:tab w:val="num" w:pos="4560"/>
        </w:tabs>
        <w:ind w:left="4560" w:hanging="360"/>
      </w:pPr>
      <w:rPr>
        <w:rFonts w:ascii="Wingdings" w:hAnsi="Wingdings" w:hint="default"/>
        <w:sz w:val="20"/>
      </w:rPr>
    </w:lvl>
    <w:lvl w:ilvl="8" w:tplc="3A8A4D26">
      <w:start w:val="1"/>
      <w:numFmt w:val="bullet"/>
      <w:lvlText w:val=""/>
      <w:lvlJc w:val="left"/>
      <w:pPr>
        <w:tabs>
          <w:tab w:val="num" w:pos="5280"/>
        </w:tabs>
        <w:ind w:left="5280" w:hanging="360"/>
      </w:pPr>
      <w:rPr>
        <w:rFonts w:ascii="Wingdings" w:hAnsi="Wingdings" w:hint="default"/>
        <w:sz w:val="20"/>
      </w:rPr>
    </w:lvl>
  </w:abstractNum>
  <w:abstractNum w:abstractNumId="15" w15:restartNumberingAfterBreak="0">
    <w:nsid w:val="5A617360"/>
    <w:multiLevelType w:val="hybridMultilevel"/>
    <w:tmpl w:val="0798BA08"/>
    <w:lvl w:ilvl="0" w:tplc="62969930">
      <w:start w:val="1"/>
      <w:numFmt w:val="bullet"/>
      <w:lvlText w:val=""/>
      <w:lvlJc w:val="left"/>
      <w:pPr>
        <w:ind w:left="720" w:hanging="360"/>
      </w:pPr>
      <w:rPr>
        <w:rFonts w:ascii="Symbol" w:hAnsi="Symbol" w:hint="default"/>
      </w:rPr>
    </w:lvl>
    <w:lvl w:ilvl="1" w:tplc="6D9C5A74">
      <w:start w:val="1"/>
      <w:numFmt w:val="bullet"/>
      <w:lvlText w:val="o"/>
      <w:lvlJc w:val="left"/>
      <w:pPr>
        <w:ind w:left="1440" w:hanging="360"/>
      </w:pPr>
      <w:rPr>
        <w:rFonts w:ascii="Courier New" w:hAnsi="Courier New" w:cs="Courier New" w:hint="default"/>
      </w:rPr>
    </w:lvl>
    <w:lvl w:ilvl="2" w:tplc="92EE19C4">
      <w:start w:val="1"/>
      <w:numFmt w:val="bullet"/>
      <w:lvlText w:val=""/>
      <w:lvlJc w:val="left"/>
      <w:pPr>
        <w:ind w:left="2160" w:hanging="360"/>
      </w:pPr>
      <w:rPr>
        <w:rFonts w:ascii="Wingdings" w:hAnsi="Wingdings" w:hint="default"/>
      </w:rPr>
    </w:lvl>
    <w:lvl w:ilvl="3" w:tplc="BEAC5DF2">
      <w:start w:val="1"/>
      <w:numFmt w:val="bullet"/>
      <w:lvlText w:val=""/>
      <w:lvlJc w:val="left"/>
      <w:pPr>
        <w:ind w:left="2880" w:hanging="360"/>
      </w:pPr>
      <w:rPr>
        <w:rFonts w:ascii="Symbol" w:hAnsi="Symbol" w:hint="default"/>
      </w:rPr>
    </w:lvl>
    <w:lvl w:ilvl="4" w:tplc="90B631EC">
      <w:start w:val="1"/>
      <w:numFmt w:val="bullet"/>
      <w:lvlText w:val="o"/>
      <w:lvlJc w:val="left"/>
      <w:pPr>
        <w:ind w:left="3600" w:hanging="360"/>
      </w:pPr>
      <w:rPr>
        <w:rFonts w:ascii="Courier New" w:hAnsi="Courier New" w:cs="Courier New" w:hint="default"/>
      </w:rPr>
    </w:lvl>
    <w:lvl w:ilvl="5" w:tplc="BB16E9F4">
      <w:start w:val="1"/>
      <w:numFmt w:val="bullet"/>
      <w:lvlText w:val=""/>
      <w:lvlJc w:val="left"/>
      <w:pPr>
        <w:ind w:left="4320" w:hanging="360"/>
      </w:pPr>
      <w:rPr>
        <w:rFonts w:ascii="Wingdings" w:hAnsi="Wingdings" w:hint="default"/>
      </w:rPr>
    </w:lvl>
    <w:lvl w:ilvl="6" w:tplc="F77258CC">
      <w:start w:val="1"/>
      <w:numFmt w:val="bullet"/>
      <w:lvlText w:val=""/>
      <w:lvlJc w:val="left"/>
      <w:pPr>
        <w:ind w:left="5040" w:hanging="360"/>
      </w:pPr>
      <w:rPr>
        <w:rFonts w:ascii="Symbol" w:hAnsi="Symbol" w:hint="default"/>
      </w:rPr>
    </w:lvl>
    <w:lvl w:ilvl="7" w:tplc="04627826">
      <w:start w:val="1"/>
      <w:numFmt w:val="bullet"/>
      <w:lvlText w:val="o"/>
      <w:lvlJc w:val="left"/>
      <w:pPr>
        <w:ind w:left="5760" w:hanging="360"/>
      </w:pPr>
      <w:rPr>
        <w:rFonts w:ascii="Courier New" w:hAnsi="Courier New" w:cs="Courier New" w:hint="default"/>
      </w:rPr>
    </w:lvl>
    <w:lvl w:ilvl="8" w:tplc="C464D8FE">
      <w:start w:val="1"/>
      <w:numFmt w:val="bullet"/>
      <w:lvlText w:val=""/>
      <w:lvlJc w:val="left"/>
      <w:pPr>
        <w:ind w:left="6480" w:hanging="360"/>
      </w:pPr>
      <w:rPr>
        <w:rFonts w:ascii="Wingdings" w:hAnsi="Wingdings" w:hint="default"/>
      </w:rPr>
    </w:lvl>
  </w:abstractNum>
  <w:abstractNum w:abstractNumId="16" w15:restartNumberingAfterBreak="0">
    <w:nsid w:val="5B7D1671"/>
    <w:multiLevelType w:val="hybridMultilevel"/>
    <w:tmpl w:val="2856DFD6"/>
    <w:lvl w:ilvl="0" w:tplc="A964E418">
      <w:start w:val="1"/>
      <w:numFmt w:val="bullet"/>
      <w:lvlText w:val=""/>
      <w:lvlJc w:val="left"/>
      <w:pPr>
        <w:ind w:left="720" w:hanging="360"/>
      </w:pPr>
      <w:rPr>
        <w:rFonts w:ascii="Symbol" w:hAnsi="Symbol" w:hint="default"/>
      </w:rPr>
    </w:lvl>
    <w:lvl w:ilvl="1" w:tplc="04162E4E">
      <w:start w:val="1"/>
      <w:numFmt w:val="bullet"/>
      <w:lvlText w:val="o"/>
      <w:lvlJc w:val="left"/>
      <w:pPr>
        <w:ind w:left="1440" w:hanging="360"/>
      </w:pPr>
      <w:rPr>
        <w:rFonts w:ascii="Courier New" w:hAnsi="Courier New" w:cs="Courier New" w:hint="default"/>
      </w:rPr>
    </w:lvl>
    <w:lvl w:ilvl="2" w:tplc="DC461D62">
      <w:start w:val="1"/>
      <w:numFmt w:val="bullet"/>
      <w:lvlText w:val=""/>
      <w:lvlJc w:val="left"/>
      <w:pPr>
        <w:ind w:left="2160" w:hanging="360"/>
      </w:pPr>
      <w:rPr>
        <w:rFonts w:ascii="Wingdings" w:hAnsi="Wingdings" w:hint="default"/>
      </w:rPr>
    </w:lvl>
    <w:lvl w:ilvl="3" w:tplc="8C88D408">
      <w:start w:val="1"/>
      <w:numFmt w:val="bullet"/>
      <w:lvlText w:val=""/>
      <w:lvlJc w:val="left"/>
      <w:pPr>
        <w:ind w:left="2880" w:hanging="360"/>
      </w:pPr>
      <w:rPr>
        <w:rFonts w:ascii="Symbol" w:hAnsi="Symbol" w:hint="default"/>
      </w:rPr>
    </w:lvl>
    <w:lvl w:ilvl="4" w:tplc="C0BA3060">
      <w:start w:val="1"/>
      <w:numFmt w:val="bullet"/>
      <w:lvlText w:val="o"/>
      <w:lvlJc w:val="left"/>
      <w:pPr>
        <w:ind w:left="3600" w:hanging="360"/>
      </w:pPr>
      <w:rPr>
        <w:rFonts w:ascii="Courier New" w:hAnsi="Courier New" w:cs="Courier New" w:hint="default"/>
      </w:rPr>
    </w:lvl>
    <w:lvl w:ilvl="5" w:tplc="5A085CE4">
      <w:start w:val="1"/>
      <w:numFmt w:val="bullet"/>
      <w:lvlText w:val=""/>
      <w:lvlJc w:val="left"/>
      <w:pPr>
        <w:ind w:left="4320" w:hanging="360"/>
      </w:pPr>
      <w:rPr>
        <w:rFonts w:ascii="Wingdings" w:hAnsi="Wingdings" w:hint="default"/>
      </w:rPr>
    </w:lvl>
    <w:lvl w:ilvl="6" w:tplc="143A4360">
      <w:start w:val="1"/>
      <w:numFmt w:val="bullet"/>
      <w:lvlText w:val=""/>
      <w:lvlJc w:val="left"/>
      <w:pPr>
        <w:ind w:left="5040" w:hanging="360"/>
      </w:pPr>
      <w:rPr>
        <w:rFonts w:ascii="Symbol" w:hAnsi="Symbol" w:hint="default"/>
      </w:rPr>
    </w:lvl>
    <w:lvl w:ilvl="7" w:tplc="0D861254">
      <w:start w:val="1"/>
      <w:numFmt w:val="bullet"/>
      <w:lvlText w:val="o"/>
      <w:lvlJc w:val="left"/>
      <w:pPr>
        <w:ind w:left="5760" w:hanging="360"/>
      </w:pPr>
      <w:rPr>
        <w:rFonts w:ascii="Courier New" w:hAnsi="Courier New" w:cs="Courier New" w:hint="default"/>
      </w:rPr>
    </w:lvl>
    <w:lvl w:ilvl="8" w:tplc="A8CC2384">
      <w:start w:val="1"/>
      <w:numFmt w:val="bullet"/>
      <w:lvlText w:val=""/>
      <w:lvlJc w:val="left"/>
      <w:pPr>
        <w:ind w:left="6480" w:hanging="360"/>
      </w:pPr>
      <w:rPr>
        <w:rFonts w:ascii="Wingdings" w:hAnsi="Wingdings" w:hint="default"/>
      </w:rPr>
    </w:lvl>
  </w:abstractNum>
  <w:abstractNum w:abstractNumId="17" w15:restartNumberingAfterBreak="0">
    <w:nsid w:val="63E35ABD"/>
    <w:multiLevelType w:val="hybridMultilevel"/>
    <w:tmpl w:val="90A21236"/>
    <w:lvl w:ilvl="0" w:tplc="DE20EC66">
      <w:start w:val="1"/>
      <w:numFmt w:val="bullet"/>
      <w:lvlText w:val=""/>
      <w:lvlJc w:val="left"/>
      <w:pPr>
        <w:tabs>
          <w:tab w:val="num" w:pos="720"/>
        </w:tabs>
        <w:ind w:left="720" w:hanging="360"/>
      </w:pPr>
      <w:rPr>
        <w:rFonts w:ascii="Symbol" w:hAnsi="Symbol" w:hint="default"/>
        <w:sz w:val="20"/>
      </w:rPr>
    </w:lvl>
    <w:lvl w:ilvl="1" w:tplc="9B300956">
      <w:start w:val="1"/>
      <w:numFmt w:val="bullet"/>
      <w:lvlText w:val="o"/>
      <w:lvlJc w:val="left"/>
      <w:pPr>
        <w:tabs>
          <w:tab w:val="num" w:pos="1440"/>
        </w:tabs>
        <w:ind w:left="1440" w:hanging="360"/>
      </w:pPr>
      <w:rPr>
        <w:rFonts w:ascii="Courier New" w:hAnsi="Courier New" w:hint="default"/>
        <w:sz w:val="20"/>
      </w:rPr>
    </w:lvl>
    <w:lvl w:ilvl="2" w:tplc="9CF2A13A">
      <w:start w:val="1"/>
      <w:numFmt w:val="bullet"/>
      <w:lvlText w:val=""/>
      <w:lvlJc w:val="left"/>
      <w:pPr>
        <w:tabs>
          <w:tab w:val="num" w:pos="2160"/>
        </w:tabs>
        <w:ind w:left="2160" w:hanging="360"/>
      </w:pPr>
      <w:rPr>
        <w:rFonts w:ascii="Wingdings" w:hAnsi="Wingdings" w:hint="default"/>
        <w:sz w:val="20"/>
      </w:rPr>
    </w:lvl>
    <w:lvl w:ilvl="3" w:tplc="DC4611C2">
      <w:start w:val="1"/>
      <w:numFmt w:val="bullet"/>
      <w:lvlText w:val=""/>
      <w:lvlJc w:val="left"/>
      <w:pPr>
        <w:tabs>
          <w:tab w:val="num" w:pos="2880"/>
        </w:tabs>
        <w:ind w:left="2880" w:hanging="360"/>
      </w:pPr>
      <w:rPr>
        <w:rFonts w:ascii="Wingdings" w:hAnsi="Wingdings" w:hint="default"/>
        <w:sz w:val="20"/>
      </w:rPr>
    </w:lvl>
    <w:lvl w:ilvl="4" w:tplc="8452E742">
      <w:start w:val="1"/>
      <w:numFmt w:val="bullet"/>
      <w:lvlText w:val=""/>
      <w:lvlJc w:val="left"/>
      <w:pPr>
        <w:tabs>
          <w:tab w:val="num" w:pos="3600"/>
        </w:tabs>
        <w:ind w:left="3600" w:hanging="360"/>
      </w:pPr>
      <w:rPr>
        <w:rFonts w:ascii="Wingdings" w:hAnsi="Wingdings" w:hint="default"/>
        <w:sz w:val="20"/>
      </w:rPr>
    </w:lvl>
    <w:lvl w:ilvl="5" w:tplc="7D164C2A">
      <w:start w:val="1"/>
      <w:numFmt w:val="bullet"/>
      <w:lvlText w:val=""/>
      <w:lvlJc w:val="left"/>
      <w:pPr>
        <w:tabs>
          <w:tab w:val="num" w:pos="4320"/>
        </w:tabs>
        <w:ind w:left="4320" w:hanging="360"/>
      </w:pPr>
      <w:rPr>
        <w:rFonts w:ascii="Wingdings" w:hAnsi="Wingdings" w:hint="default"/>
        <w:sz w:val="20"/>
      </w:rPr>
    </w:lvl>
    <w:lvl w:ilvl="6" w:tplc="50681354">
      <w:start w:val="1"/>
      <w:numFmt w:val="bullet"/>
      <w:lvlText w:val=""/>
      <w:lvlJc w:val="left"/>
      <w:pPr>
        <w:tabs>
          <w:tab w:val="num" w:pos="5040"/>
        </w:tabs>
        <w:ind w:left="5040" w:hanging="360"/>
      </w:pPr>
      <w:rPr>
        <w:rFonts w:ascii="Wingdings" w:hAnsi="Wingdings" w:hint="default"/>
        <w:sz w:val="20"/>
      </w:rPr>
    </w:lvl>
    <w:lvl w:ilvl="7" w:tplc="BA4CA470">
      <w:start w:val="1"/>
      <w:numFmt w:val="bullet"/>
      <w:lvlText w:val=""/>
      <w:lvlJc w:val="left"/>
      <w:pPr>
        <w:tabs>
          <w:tab w:val="num" w:pos="5760"/>
        </w:tabs>
        <w:ind w:left="5760" w:hanging="360"/>
      </w:pPr>
      <w:rPr>
        <w:rFonts w:ascii="Wingdings" w:hAnsi="Wingdings" w:hint="default"/>
        <w:sz w:val="20"/>
      </w:rPr>
    </w:lvl>
    <w:lvl w:ilvl="8" w:tplc="F634EAAC">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B1C9C"/>
    <w:multiLevelType w:val="hybridMultilevel"/>
    <w:tmpl w:val="6E867CEC"/>
    <w:lvl w:ilvl="0" w:tplc="FFC4A13C">
      <w:start w:val="1"/>
      <w:numFmt w:val="bullet"/>
      <w:lvlText w:val=""/>
      <w:lvlJc w:val="left"/>
      <w:pPr>
        <w:ind w:left="1080" w:hanging="360"/>
      </w:pPr>
      <w:rPr>
        <w:rFonts w:ascii="Symbol" w:hAnsi="Symbol" w:hint="default"/>
      </w:rPr>
    </w:lvl>
    <w:lvl w:ilvl="1" w:tplc="246CA338">
      <w:start w:val="1"/>
      <w:numFmt w:val="bullet"/>
      <w:lvlText w:val="o"/>
      <w:lvlJc w:val="left"/>
      <w:pPr>
        <w:ind w:left="1800" w:hanging="360"/>
      </w:pPr>
      <w:rPr>
        <w:rFonts w:ascii="Courier New" w:hAnsi="Courier New" w:cs="Courier New" w:hint="default"/>
      </w:rPr>
    </w:lvl>
    <w:lvl w:ilvl="2" w:tplc="14CC18A0">
      <w:start w:val="1"/>
      <w:numFmt w:val="bullet"/>
      <w:lvlText w:val=""/>
      <w:lvlJc w:val="left"/>
      <w:pPr>
        <w:ind w:left="2520" w:hanging="360"/>
      </w:pPr>
      <w:rPr>
        <w:rFonts w:ascii="Wingdings" w:hAnsi="Wingdings" w:hint="default"/>
      </w:rPr>
    </w:lvl>
    <w:lvl w:ilvl="3" w:tplc="23E8DAB4">
      <w:start w:val="1"/>
      <w:numFmt w:val="bullet"/>
      <w:lvlText w:val=""/>
      <w:lvlJc w:val="left"/>
      <w:pPr>
        <w:ind w:left="3240" w:hanging="360"/>
      </w:pPr>
      <w:rPr>
        <w:rFonts w:ascii="Symbol" w:hAnsi="Symbol" w:hint="default"/>
      </w:rPr>
    </w:lvl>
    <w:lvl w:ilvl="4" w:tplc="EBF6D8C6">
      <w:start w:val="1"/>
      <w:numFmt w:val="bullet"/>
      <w:lvlText w:val="o"/>
      <w:lvlJc w:val="left"/>
      <w:pPr>
        <w:ind w:left="3960" w:hanging="360"/>
      </w:pPr>
      <w:rPr>
        <w:rFonts w:ascii="Courier New" w:hAnsi="Courier New" w:cs="Courier New" w:hint="default"/>
      </w:rPr>
    </w:lvl>
    <w:lvl w:ilvl="5" w:tplc="CEB0D214">
      <w:start w:val="1"/>
      <w:numFmt w:val="bullet"/>
      <w:lvlText w:val=""/>
      <w:lvlJc w:val="left"/>
      <w:pPr>
        <w:ind w:left="4680" w:hanging="360"/>
      </w:pPr>
      <w:rPr>
        <w:rFonts w:ascii="Wingdings" w:hAnsi="Wingdings" w:hint="default"/>
      </w:rPr>
    </w:lvl>
    <w:lvl w:ilvl="6" w:tplc="F2DEB482">
      <w:start w:val="1"/>
      <w:numFmt w:val="bullet"/>
      <w:lvlText w:val=""/>
      <w:lvlJc w:val="left"/>
      <w:pPr>
        <w:ind w:left="5400" w:hanging="360"/>
      </w:pPr>
      <w:rPr>
        <w:rFonts w:ascii="Symbol" w:hAnsi="Symbol" w:hint="default"/>
      </w:rPr>
    </w:lvl>
    <w:lvl w:ilvl="7" w:tplc="8E723DC0">
      <w:start w:val="1"/>
      <w:numFmt w:val="bullet"/>
      <w:lvlText w:val="o"/>
      <w:lvlJc w:val="left"/>
      <w:pPr>
        <w:ind w:left="6120" w:hanging="360"/>
      </w:pPr>
      <w:rPr>
        <w:rFonts w:ascii="Courier New" w:hAnsi="Courier New" w:cs="Courier New" w:hint="default"/>
      </w:rPr>
    </w:lvl>
    <w:lvl w:ilvl="8" w:tplc="6C64BD46">
      <w:start w:val="1"/>
      <w:numFmt w:val="bullet"/>
      <w:lvlText w:val=""/>
      <w:lvlJc w:val="left"/>
      <w:pPr>
        <w:ind w:left="6840" w:hanging="360"/>
      </w:pPr>
      <w:rPr>
        <w:rFonts w:ascii="Wingdings" w:hAnsi="Wingdings" w:hint="default"/>
      </w:rPr>
    </w:lvl>
  </w:abstractNum>
  <w:abstractNum w:abstractNumId="19" w15:restartNumberingAfterBreak="0">
    <w:nsid w:val="7AFD1897"/>
    <w:multiLevelType w:val="hybridMultilevel"/>
    <w:tmpl w:val="00F867DC"/>
    <w:lvl w:ilvl="0" w:tplc="D170735E">
      <w:start w:val="1"/>
      <w:numFmt w:val="bullet"/>
      <w:lvlText w:val=""/>
      <w:lvlJc w:val="left"/>
      <w:pPr>
        <w:ind w:left="720" w:hanging="360"/>
      </w:pPr>
      <w:rPr>
        <w:rFonts w:ascii="Symbol" w:hAnsi="Symbol" w:hint="default"/>
      </w:rPr>
    </w:lvl>
    <w:lvl w:ilvl="1" w:tplc="5BCC1066">
      <w:start w:val="1"/>
      <w:numFmt w:val="bullet"/>
      <w:lvlText w:val="o"/>
      <w:lvlJc w:val="left"/>
      <w:pPr>
        <w:ind w:left="1440" w:hanging="360"/>
      </w:pPr>
      <w:rPr>
        <w:rFonts w:ascii="Courier New" w:hAnsi="Courier New" w:cs="Courier New" w:hint="default"/>
      </w:rPr>
    </w:lvl>
    <w:lvl w:ilvl="2" w:tplc="910AB6BC">
      <w:start w:val="1"/>
      <w:numFmt w:val="bullet"/>
      <w:lvlText w:val=""/>
      <w:lvlJc w:val="left"/>
      <w:pPr>
        <w:ind w:left="2160" w:hanging="360"/>
      </w:pPr>
      <w:rPr>
        <w:rFonts w:ascii="Wingdings" w:hAnsi="Wingdings" w:hint="default"/>
      </w:rPr>
    </w:lvl>
    <w:lvl w:ilvl="3" w:tplc="E29057B6">
      <w:start w:val="1"/>
      <w:numFmt w:val="bullet"/>
      <w:lvlText w:val=""/>
      <w:lvlJc w:val="left"/>
      <w:pPr>
        <w:ind w:left="2880" w:hanging="360"/>
      </w:pPr>
      <w:rPr>
        <w:rFonts w:ascii="Symbol" w:hAnsi="Symbol" w:hint="default"/>
      </w:rPr>
    </w:lvl>
    <w:lvl w:ilvl="4" w:tplc="3E92FC2E">
      <w:start w:val="1"/>
      <w:numFmt w:val="bullet"/>
      <w:lvlText w:val="o"/>
      <w:lvlJc w:val="left"/>
      <w:pPr>
        <w:ind w:left="3600" w:hanging="360"/>
      </w:pPr>
      <w:rPr>
        <w:rFonts w:ascii="Courier New" w:hAnsi="Courier New" w:cs="Courier New" w:hint="default"/>
      </w:rPr>
    </w:lvl>
    <w:lvl w:ilvl="5" w:tplc="3788B8CE">
      <w:start w:val="1"/>
      <w:numFmt w:val="bullet"/>
      <w:lvlText w:val=""/>
      <w:lvlJc w:val="left"/>
      <w:pPr>
        <w:ind w:left="4320" w:hanging="360"/>
      </w:pPr>
      <w:rPr>
        <w:rFonts w:ascii="Wingdings" w:hAnsi="Wingdings" w:hint="default"/>
      </w:rPr>
    </w:lvl>
    <w:lvl w:ilvl="6" w:tplc="59709476">
      <w:start w:val="1"/>
      <w:numFmt w:val="bullet"/>
      <w:lvlText w:val=""/>
      <w:lvlJc w:val="left"/>
      <w:pPr>
        <w:ind w:left="5040" w:hanging="360"/>
      </w:pPr>
      <w:rPr>
        <w:rFonts w:ascii="Symbol" w:hAnsi="Symbol" w:hint="default"/>
      </w:rPr>
    </w:lvl>
    <w:lvl w:ilvl="7" w:tplc="DB9A20BE">
      <w:start w:val="1"/>
      <w:numFmt w:val="bullet"/>
      <w:lvlText w:val="o"/>
      <w:lvlJc w:val="left"/>
      <w:pPr>
        <w:ind w:left="5760" w:hanging="360"/>
      </w:pPr>
      <w:rPr>
        <w:rFonts w:ascii="Courier New" w:hAnsi="Courier New" w:cs="Courier New" w:hint="default"/>
      </w:rPr>
    </w:lvl>
    <w:lvl w:ilvl="8" w:tplc="84C61EB2">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5"/>
  </w:num>
  <w:num w:numId="5">
    <w:abstractNumId w:val="13"/>
  </w:num>
  <w:num w:numId="6">
    <w:abstractNumId w:val="14"/>
  </w:num>
  <w:num w:numId="7">
    <w:abstractNumId w:val="2"/>
  </w:num>
  <w:num w:numId="8">
    <w:abstractNumId w:val="11"/>
  </w:num>
  <w:num w:numId="9">
    <w:abstractNumId w:val="16"/>
  </w:num>
  <w:num w:numId="10">
    <w:abstractNumId w:val="0"/>
  </w:num>
  <w:num w:numId="11">
    <w:abstractNumId w:val="19"/>
  </w:num>
  <w:num w:numId="12">
    <w:abstractNumId w:val="9"/>
  </w:num>
  <w:num w:numId="13">
    <w:abstractNumId w:val="10"/>
  </w:num>
  <w:num w:numId="14">
    <w:abstractNumId w:val="6"/>
  </w:num>
  <w:num w:numId="15">
    <w:abstractNumId w:val="18"/>
  </w:num>
  <w:num w:numId="16">
    <w:abstractNumId w:val="1"/>
  </w:num>
  <w:num w:numId="17">
    <w:abstractNumId w:val="4"/>
  </w:num>
  <w:num w:numId="18">
    <w:abstractNumId w:val="8"/>
  </w:num>
  <w:num w:numId="19">
    <w:abstractNumId w:val="17"/>
  </w:num>
  <w:num w:numId="20">
    <w:abstractNumId w:val="12"/>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obhan McKay (MEd Educ for Health Prof PT)">
    <w15:presenceInfo w15:providerId="AD" w15:userId="S::scm224@student.bham.ac.uk::4744d913-605d-4429-aa93-91a0456d06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74D"/>
    <w:rsid w:val="000C76DA"/>
    <w:rsid w:val="000F1256"/>
    <w:rsid w:val="00281ACA"/>
    <w:rsid w:val="00313CD7"/>
    <w:rsid w:val="00447194"/>
    <w:rsid w:val="00464CC2"/>
    <w:rsid w:val="006D686A"/>
    <w:rsid w:val="00862153"/>
    <w:rsid w:val="00953574"/>
    <w:rsid w:val="00981F40"/>
    <w:rsid w:val="009C096E"/>
    <w:rsid w:val="00B3056B"/>
    <w:rsid w:val="00BB0769"/>
    <w:rsid w:val="00BE24AE"/>
    <w:rsid w:val="00C5674D"/>
    <w:rsid w:val="00F95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02FD8"/>
  <w15:docId w15:val="{20FE0224-93E0-468F-9C4B-ECF41EF8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pBdr>
          <w:top w:val="none" w:sz="4" w:space="0" w:color="000000"/>
          <w:left w:val="none" w:sz="4" w:space="0" w:color="000000"/>
          <w:bottom w:val="none" w:sz="4" w:space="0" w:color="000000"/>
          <w:right w:val="none" w:sz="4" w:space="0" w:color="000000"/>
          <w:between w:val="none" w:sz="4" w:space="0" w:color="000000"/>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3">
    <w:name w:val="Grid Table 1 Light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2-Accent2">
    <w:name w:val="Grid Table 2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2-Accent3">
    <w:name w:val="Grid Table 2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2-Accent4">
    <w:name w:val="Grid Table 2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2-Accent5">
    <w:name w:val="Grid Table 2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2-Accent6">
    <w:name w:val="Grid Table 2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3-Accent1">
    <w:name w:val="Grid Table 3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3-Accent2">
    <w:name w:val="Grid Table 3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3-Accent3">
    <w:name w:val="Grid Table 3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3-Accent4">
    <w:name w:val="Grid Table 3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3-Accent5">
    <w:name w:val="Grid Table 3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3-Accent6">
    <w:name w:val="Grid Table 3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4-Accent1">
    <w:name w:val="Grid Table 4 Accent 1"/>
    <w:basedOn w:val="Table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GridTable4-Accent2">
    <w:name w:val="Grid Table 4 Accent 2"/>
    <w:basedOn w:val="Table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4-Accent3">
    <w:name w:val="Grid Table 4 Accent 3"/>
    <w:basedOn w:val="Table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4-Accent4">
    <w:name w:val="Grid Table 4 Accent 4"/>
    <w:basedOn w:val="Table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4-Accent5">
    <w:name w:val="Grid Table 4 Accent 5"/>
    <w:basedOn w:val="Table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4-Accent6">
    <w:name w:val="Grid Table 4 Accent 6"/>
    <w:basedOn w:val="Table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5Dark-Accent2">
    <w:name w:val="Grid Table 5 Dark Accent 2"/>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GridTable5Dark-Accent3">
    <w:name w:val="Grid Table 5 Dark Accent 3"/>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styleId="GridTable5Dark-Accent5">
    <w:name w:val="Grid Table 5 Dark Accent 5"/>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GridTable5Dark-Accent6">
    <w:name w:val="Grid Table 5 Dark Accent 6"/>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ListTable1Light-Accent1">
    <w:name w:val="List Table 1 Light Accent 1"/>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stTable1Light-Accent2">
    <w:name w:val="List Table 1 Light Accent 2"/>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stTable1Light-Accent3">
    <w:name w:val="List Table 1 Light Accent 3"/>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stTable1Light-Accent4">
    <w:name w:val="List Table 1 Light Accent 4"/>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stTable1Light-Accent5">
    <w:name w:val="List Table 1 Light Accent 5"/>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stTable1Light-Accent6">
    <w:name w:val="List Table 1 Light Accent 6"/>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Table2-Accent1">
    <w:name w:val="List Table 2 Accent 1"/>
    <w:basedOn w:val="Table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2-Accent2">
    <w:name w:val="List Table 2 Accent 2"/>
    <w:basedOn w:val="Table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2-Accent3">
    <w:name w:val="List Table 2 Accent 3"/>
    <w:basedOn w:val="Table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2-Accent4">
    <w:name w:val="List Table 2 Accent 4"/>
    <w:basedOn w:val="Table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2-Accent5">
    <w:name w:val="List Table 2 Accent 5"/>
    <w:basedOn w:val="Table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2-Accent6">
    <w:name w:val="List Table 2 Accent 6"/>
    <w:basedOn w:val="Table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3-Accent1">
    <w:name w:val="List Table 3 Accent 1"/>
    <w:basedOn w:val="Table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4-Accent2">
    <w:name w:val="List Table 4 Accent 2"/>
    <w:basedOn w:val="Table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4-Accent3">
    <w:name w:val="List Table 4 Accent 3"/>
    <w:basedOn w:val="Table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4-Accent4">
    <w:name w:val="List Table 4 Accent 4"/>
    <w:basedOn w:val="Table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4-Accent5">
    <w:name w:val="List Table 4 Accent 5"/>
    <w:basedOn w:val="Table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4-Accent6">
    <w:name w:val="List Table 4 Accent 6"/>
    <w:basedOn w:val="Table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5Dark-Accent1">
    <w:name w:val="List Table 5 Dark Accent 1"/>
    <w:basedOn w:val="Table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stTable5Dark-Accent2">
    <w:name w:val="List Table 5 Dark Accent 2"/>
    <w:basedOn w:val="Table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stTable5Dark-Accent3">
    <w:name w:val="List Table 5 Dark Accent 3"/>
    <w:basedOn w:val="Table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stTable5Dark-Accent4">
    <w:name w:val="List Table 5 Dark Accent 4"/>
    <w:basedOn w:val="Table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stTable5Dark-Accent5">
    <w:name w:val="List Table 5 Dark Accent 5"/>
    <w:basedOn w:val="Table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stTable5Dark-Accent6">
    <w:name w:val="List Table 5 Dark Accent 6"/>
    <w:basedOn w:val="Table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line="240" w:lineRule="auto"/>
    </w:p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1">
    <w:name w:val="Grid Table 1 Light - Accent 21"/>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2">
    <w:name w:val="Grid Table 2"/>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
    <w:name w:val="Grid Table 3"/>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
    <w:name w:val="Grid Table 4"/>
    <w:basedOn w:val="Table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5Dark">
    <w:name w:val="Grid Table 5 Dark"/>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4">
    <w:name w:val="Grid Table 5 Dark- Accent 4"/>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GridTable6Colourful">
    <w:name w:val="Grid Table 6 Colorful"/>
    <w:basedOn w:val="Table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2">
    <w:name w:val="List Table 2"/>
    <w:basedOn w:val="Table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3">
    <w:name w:val="List Table 3"/>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5Dark">
    <w:name w:val="List Table 5 Dark"/>
    <w:basedOn w:val="Table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6Colourful">
    <w:name w:val="List Table 6 Colorful"/>
    <w:basedOn w:val="Table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Normal"/>
    <w:uiPriority w:val="99"/>
    <w:pPr>
      <w:spacing w:line="240" w:lineRule="auto"/>
    </w:pPr>
    <w:rPr>
      <w:color w:val="404040"/>
      <w:sz w:val="20"/>
      <w:szCs w:val="20"/>
      <w:lang w:val="en-GB"/>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Normal"/>
    <w:uiPriority w:val="99"/>
    <w:pPr>
      <w:spacing w:line="240" w:lineRule="auto"/>
    </w:pPr>
    <w:rPr>
      <w:color w:val="404040"/>
      <w:sz w:val="20"/>
      <w:szCs w:val="20"/>
      <w:lang w:val="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line="240" w:lineRule="auto"/>
    </w:pPr>
    <w:rPr>
      <w:color w:val="404040"/>
      <w:sz w:val="20"/>
      <w:szCs w:val="20"/>
      <w:lang w:val="en-GB"/>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Normal"/>
    <w:uiPriority w:val="99"/>
    <w:pPr>
      <w:spacing w:line="240" w:lineRule="auto"/>
    </w:pPr>
    <w:rPr>
      <w:color w:val="404040"/>
      <w:sz w:val="20"/>
      <w:szCs w:val="20"/>
      <w:lang w:val="en-GB"/>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Normal"/>
    <w:uiPriority w:val="99"/>
    <w:pPr>
      <w:spacing w:line="240" w:lineRule="auto"/>
    </w:pPr>
    <w:rPr>
      <w:color w:val="404040"/>
      <w:sz w:val="20"/>
      <w:szCs w:val="20"/>
      <w:lang w:val="en-GB"/>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Normal"/>
    <w:uiPriority w:val="99"/>
    <w:pPr>
      <w:spacing w:line="240" w:lineRule="auto"/>
    </w:pPr>
    <w:rPr>
      <w:color w:val="404040"/>
      <w:sz w:val="20"/>
      <w:szCs w:val="20"/>
      <w:lang w:val="en-GB"/>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Normal"/>
    <w:uiPriority w:val="99"/>
    <w:pPr>
      <w:spacing w:line="240" w:lineRule="auto"/>
    </w:pPr>
    <w:rPr>
      <w:color w:val="404040"/>
      <w:sz w:val="20"/>
      <w:szCs w:val="20"/>
      <w:lang w:val="en-GB"/>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Normal"/>
    <w:uiPriority w:val="99"/>
    <w:pPr>
      <w:spacing w:line="240" w:lineRule="auto"/>
    </w:pPr>
    <w:rPr>
      <w:color w:val="404040"/>
      <w:sz w:val="20"/>
      <w:szCs w:val="20"/>
      <w:lang w:val="en-GB"/>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authors-list-item">
    <w:name w:val="authors-list-item"/>
    <w:basedOn w:val="DefaultParagraphFont"/>
  </w:style>
  <w:style w:type="character" w:customStyle="1" w:styleId="semicolon">
    <w:name w:val="semicolon"/>
    <w:basedOn w:val="DefaultParagraphFont"/>
  </w:style>
  <w:style w:type="character" w:customStyle="1" w:styleId="period">
    <w:name w:val="period"/>
    <w:basedOn w:val="DefaultParagraphFont"/>
  </w:style>
  <w:style w:type="character" w:customStyle="1" w:styleId="apple-converted-space">
    <w:name w:val="apple-converted-space"/>
    <w:basedOn w:val="DefaultParagraphFont"/>
  </w:style>
  <w:style w:type="character" w:customStyle="1" w:styleId="cit">
    <w:name w:val="cit"/>
    <w:basedOn w:val="DefaultParagraphFont"/>
  </w:style>
  <w:style w:type="character" w:customStyle="1" w:styleId="citation-doi">
    <w:name w:val="citation-doi"/>
    <w:basedOn w:val="DefaultParagraphFont"/>
  </w:style>
  <w:style w:type="character" w:customStyle="1" w:styleId="id-label">
    <w:name w:val="id-label"/>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styleId="PageNumber">
    <w:name w:val="page number"/>
    <w:basedOn w:val="DefaultParagraphFont"/>
    <w:uiPriority w:val="99"/>
    <w:semiHidden/>
    <w:unhideWhenUsed/>
  </w:style>
  <w:style w:type="character" w:styleId="FollowedHyperlink">
    <w:name w:val="FollowedHyperlink"/>
    <w:basedOn w:val="DefaultParagraphFont"/>
    <w:uiPriority w:val="99"/>
    <w:semiHidden/>
    <w:unhideWhenUsed/>
    <w:rPr>
      <w:color w:val="800080" w:themeColor="followedHyperlink"/>
      <w:u w:val="single"/>
    </w:rPr>
  </w:style>
  <w:style w:type="paragraph" w:styleId="TOCHeading">
    <w:name w:val="TOC Heading"/>
    <w:basedOn w:val="Heading1"/>
    <w:next w:val="Normal"/>
    <w:uiPriority w:val="39"/>
    <w:semiHidden/>
    <w:unhideWhenUsed/>
    <w:qFormat/>
    <w:pPr>
      <w:spacing w:before="480" w:after="0"/>
      <w:outlineLvl w:val="9"/>
    </w:pPr>
    <w:rPr>
      <w:rFonts w:ascii="Calibri" w:eastAsia="Calibri" w:hAnsi="Calibri" w:cs="Calibri"/>
      <w:b/>
      <w:bCs/>
      <w:color w:val="365F91" w:themeColor="accent1" w:themeShade="BF"/>
      <w:sz w:val="28"/>
      <w:szCs w:val="28"/>
      <w:lang w:val="en-US" w:eastAsia="ja-JP"/>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Heading3Char">
    <w:name w:val="Heading 3 Char"/>
    <w:basedOn w:val="DefaultParagraphFont"/>
    <w:link w:val="Heading3"/>
    <w:uiPriority w:val="9"/>
    <w:rPr>
      <w:color w:val="434343"/>
      <w:sz w:val="28"/>
      <w:szCs w:val="28"/>
    </w:rPr>
  </w:style>
  <w:style w:type="character" w:customStyle="1" w:styleId="Heading4Char">
    <w:name w:val="Heading 4 Char"/>
    <w:basedOn w:val="DefaultParagraphFont"/>
    <w:link w:val="Heading4"/>
    <w:uiPriority w:val="9"/>
    <w:rPr>
      <w:color w:val="666666"/>
      <w:sz w:val="24"/>
      <w:szCs w:val="24"/>
    </w:rPr>
  </w:style>
  <w:style w:type="paragraph" w:customStyle="1" w:styleId="numbered-paragraph">
    <w:name w:val="numbered-paragraph"/>
    <w:basedOn w:val="Normal"/>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paragraph-number">
    <w:name w:val="paragraph-number"/>
    <w:basedOn w:val="DefaultParagraphFont"/>
  </w:style>
  <w:style w:type="paragraph" w:styleId="TOC3">
    <w:name w:val="toc 3"/>
    <w:basedOn w:val="Normal"/>
    <w:next w:val="Normal"/>
    <w:uiPriority w:val="39"/>
    <w:unhideWhenUsed/>
    <w:pPr>
      <w:spacing w:after="100"/>
      <w:ind w:left="440"/>
    </w:pPr>
  </w:style>
  <w:style w:type="character" w:customStyle="1" w:styleId="titledefault">
    <w:name w:val="title_default"/>
    <w:basedOn w:val="DefaultParagraphFont"/>
  </w:style>
  <w:style w:type="character" w:styleId="UnresolvedMention">
    <w:name w:val="Unresolved Mention"/>
    <w:basedOn w:val="DefaultParagraphFont"/>
    <w:uiPriority w:val="99"/>
    <w:semiHidden/>
    <w:unhideWhenUsed/>
    <w:rsid w:val="00447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93951">
      <w:bodyDiv w:val="1"/>
      <w:marLeft w:val="0"/>
      <w:marRight w:val="0"/>
      <w:marTop w:val="0"/>
      <w:marBottom w:val="0"/>
      <w:divBdr>
        <w:top w:val="none" w:sz="0" w:space="0" w:color="auto"/>
        <w:left w:val="none" w:sz="0" w:space="0" w:color="auto"/>
        <w:bottom w:val="none" w:sz="0" w:space="0" w:color="auto"/>
        <w:right w:val="none" w:sz="0" w:space="0" w:color="auto"/>
      </w:divBdr>
    </w:div>
    <w:div w:id="711271179">
      <w:bodyDiv w:val="1"/>
      <w:marLeft w:val="0"/>
      <w:marRight w:val="0"/>
      <w:marTop w:val="0"/>
      <w:marBottom w:val="0"/>
      <w:divBdr>
        <w:top w:val="none" w:sz="0" w:space="0" w:color="auto"/>
        <w:left w:val="none" w:sz="0" w:space="0" w:color="auto"/>
        <w:bottom w:val="none" w:sz="0" w:space="0" w:color="auto"/>
        <w:right w:val="none" w:sz="0" w:space="0" w:color="auto"/>
      </w:divBdr>
    </w:div>
    <w:div w:id="1499074251">
      <w:bodyDiv w:val="1"/>
      <w:marLeft w:val="0"/>
      <w:marRight w:val="0"/>
      <w:marTop w:val="0"/>
      <w:marBottom w:val="0"/>
      <w:divBdr>
        <w:top w:val="none" w:sz="0" w:space="0" w:color="auto"/>
        <w:left w:val="none" w:sz="0" w:space="0" w:color="auto"/>
        <w:bottom w:val="none" w:sz="0" w:space="0" w:color="auto"/>
        <w:right w:val="none" w:sz="0" w:space="0" w:color="auto"/>
      </w:divBdr>
    </w:div>
    <w:div w:id="1570992147">
      <w:bodyDiv w:val="1"/>
      <w:marLeft w:val="0"/>
      <w:marRight w:val="0"/>
      <w:marTop w:val="0"/>
      <w:marBottom w:val="0"/>
      <w:divBdr>
        <w:top w:val="none" w:sz="0" w:space="0" w:color="auto"/>
        <w:left w:val="none" w:sz="0" w:space="0" w:color="auto"/>
        <w:bottom w:val="none" w:sz="0" w:space="0" w:color="auto"/>
        <w:right w:val="none" w:sz="0" w:space="0" w:color="auto"/>
      </w:divBdr>
    </w:div>
    <w:div w:id="181806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6.emf"/><Relationship Id="rId26" Type="http://schemas.openxmlformats.org/officeDocument/2006/relationships/image" Target="media/image14.emf"/><Relationship Id="rId21" Type="http://schemas.openxmlformats.org/officeDocument/2006/relationships/image" Target="media/image9.emf"/><Relationship Id="rId55" Type="http://schemas.openxmlformats.org/officeDocument/2006/relationships/image" Target="media/image220.png"/><Relationship Id="rId63" Type="http://schemas.openxmlformats.org/officeDocument/2006/relationships/image" Target="media/image260.png"/><Relationship Id="rId68" Type="http://schemas.openxmlformats.org/officeDocument/2006/relationships/image" Target="media/image26.png"/><Relationship Id="rId76" Type="http://schemas.openxmlformats.org/officeDocument/2006/relationships/image" Target="media/image30.png"/><Relationship Id="rId84" Type="http://schemas.openxmlformats.org/officeDocument/2006/relationships/theme" Target="theme/theme1.xml"/><Relationship Id="rId89" Type="http://schemas.onlyoffice.com/peopleDocument" Target="peopleDocument.xml"/><Relationship Id="rId7" Type="http://schemas.openxmlformats.org/officeDocument/2006/relationships/image" Target="media/image1.jpg"/><Relationship Id="rId71" Type="http://schemas.openxmlformats.org/officeDocument/2006/relationships/image" Target="media/image300.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image" Target="media/image2.jpg"/><Relationship Id="rId24" Type="http://schemas.openxmlformats.org/officeDocument/2006/relationships/image" Target="media/image12.emf"/><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image" Target="media/image340.png"/><Relationship Id="rId87" Type="http://schemas.onlyoffice.com/commentsExtendedDocument" Target="commentsExtendedDocument.xml"/><Relationship Id="rId5" Type="http://schemas.openxmlformats.org/officeDocument/2006/relationships/footnotes" Target="footnotes.xml"/><Relationship Id="rId61" Type="http://schemas.openxmlformats.org/officeDocument/2006/relationships/image" Target="media/image250.png"/><Relationship Id="rId82" Type="http://schemas.openxmlformats.org/officeDocument/2006/relationships/footer" Target="footer2.xml"/><Relationship Id="rId90" Type="http://schemas.onlyoffice.com/commentsIdsDocument" Target="commentsIdsDocument.xml"/><Relationship Id="rId19" Type="http://schemas.openxmlformats.org/officeDocument/2006/relationships/image" Target="media/image7.emf"/><Relationship Id="rId14" Type="http://schemas.openxmlformats.org/officeDocument/2006/relationships/hyperlink" Target="https://redcap.link/contactaudit"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image" Target="media/image290.png"/><Relationship Id="rId77" Type="http://schemas.openxmlformats.org/officeDocument/2006/relationships/image" Target="media/image330.png"/><Relationship Id="rId72" Type="http://schemas.openxmlformats.org/officeDocument/2006/relationships/image" Target="media/image28.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emf"/><Relationship Id="rId25" Type="http://schemas.openxmlformats.org/officeDocument/2006/relationships/image" Target="media/image13.emf"/><Relationship Id="rId59" Type="http://schemas.openxmlformats.org/officeDocument/2006/relationships/image" Target="media/image240.png"/><Relationship Id="rId67" Type="http://schemas.openxmlformats.org/officeDocument/2006/relationships/image" Target="media/image280.png"/><Relationship Id="rId20" Type="http://schemas.openxmlformats.org/officeDocument/2006/relationships/image" Target="media/image8.emf"/><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image" Target="media/image320.png"/><Relationship Id="rId83" Type="http://schemas.openxmlformats.org/officeDocument/2006/relationships/fontTable" Target="fontTable.xml"/><Relationship Id="rId88" Type="http://schemas.onlyoffice.com/commentsDocument" Target="comments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sgbi.org/contact-study/" TargetMode="External"/><Relationship Id="rId23" Type="http://schemas.openxmlformats.org/officeDocument/2006/relationships/image" Target="media/image11.emf"/><Relationship Id="rId28" Type="http://schemas.openxmlformats.org/officeDocument/2006/relationships/image" Target="media/image16.emf"/><Relationship Id="rId57" Type="http://schemas.openxmlformats.org/officeDocument/2006/relationships/image" Target="media/image230.png"/><Relationship Id="rId31" Type="http://schemas.openxmlformats.org/officeDocument/2006/relationships/image" Target="media/image19.png"/><Relationship Id="rId60" Type="http://schemas.openxmlformats.org/officeDocument/2006/relationships/image" Target="media/image22.png"/><Relationship Id="rId65" Type="http://schemas.openxmlformats.org/officeDocument/2006/relationships/image" Target="media/image270.png"/><Relationship Id="rId73" Type="http://schemas.openxmlformats.org/officeDocument/2006/relationships/image" Target="media/image310.png"/><Relationship Id="rId78" Type="http://schemas.openxmlformats.org/officeDocument/2006/relationships/image" Target="media/image31.png"/><Relationship Id="rId81" Type="http://schemas.openxmlformats.org/officeDocument/2006/relationships/footer" Target="foot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Mckay</dc:creator>
  <cp:lastModifiedBy>Siobhan McKay (MEd Educ for Health Prof PT)</cp:lastModifiedBy>
  <cp:revision>2</cp:revision>
  <dcterms:created xsi:type="dcterms:W3CDTF">2020-12-08T18:38:00Z</dcterms:created>
  <dcterms:modified xsi:type="dcterms:W3CDTF">2020-12-08T18:38:00Z</dcterms:modified>
</cp:coreProperties>
</file>